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people possessed as contrasted with the</w:t>
        <w:br w:type="textWrapping"/>
        <w:t xml:space="preserve">heathen power of this world,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abides</w:t>
        <w:br w:type="textWrapping"/>
        <w:t xml:space="preserve">in “Babylon.” But really, if we have</w:t>
        <w:br w:type="textWrapping"/>
        <w:t xml:space="preserve">come thus far by fighting for the literal</w:t>
        <w:br w:type="textWrapping"/>
        <w:t xml:space="preserve">interpretation, why not a little further?</w:t>
        <w:br w:type="textWrapping"/>
        <w:t xml:space="preserve">Or rather why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If “Babylon” is</w:t>
        <w:br w:type="textWrapping"/>
        <w:t xml:space="preserve">the abode of the world, why not “Jerusalem”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— If our interpreter,</w:t>
        <w:br w:type="textWrapping"/>
        <w:t xml:space="preserve">maintaining the literal sense, is allowed so</w:t>
        <w:br w:type="textWrapping"/>
        <w:t xml:space="preserve">far to “idealize,” as to exempt the temple</w:t>
        <w:br w:type="textWrapping"/>
        <w:t xml:space="preserve">of God itself [ver. 2] from a destruction</w:t>
        <w:br w:type="textWrapping"/>
        <w:t xml:space="preserve">which we know overtook it, and nine-tenths of the city [ver 13] from an</w:t>
        <w:br w:type="textWrapping"/>
        <w:t xml:space="preserve">overthrow which destroyed it all, surely</w:t>
        <w:br w:type="textWrapping"/>
        <w:t xml:space="preserve">there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 to the meaning of words.</w:t>
        <w:br w:type="textWrapping"/>
        <w:t xml:space="preserve">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simply Jerusalem, and</w:t>
        <w:br w:type="textWrapping"/>
        <w:t xml:space="preserve">the prophecy regards her overthrow by</w:t>
        <w:br w:type="textWrapping"/>
        <w:t xml:space="preserve">the Romans, and especially if this passage</w:t>
        <w:br w:type="textWrapping"/>
        <w:t xml:space="preserve">is to be made such use of as to set aside</w:t>
        <w:br w:type="textWrapping"/>
        <w:t xml:space="preserve">the testimony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Irenaeus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to the date</w:t>
        <w:br w:type="textWrapping"/>
        <w:t xml:space="preserve">of the Apocalypse by the stronger testimony of the Apocalypse itself [so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from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cke], then must every particular be shewn to tally with known</w:t>
        <w:br w:type="textWrapping"/>
        <w:t xml:space="preserve">history; or if this cannot be done, at least</w:t>
        <w:br w:type="textWrapping"/>
        <w:t xml:space="preserve">it must be shewn that none contradicts it.</w:t>
        <w:br w:type="textWrapping"/>
        <w:t xml:space="preserve">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be done, then we may fairly</w:t>
        <w:br w:type="textWrapping"/>
        <w:t xml:space="preserve">infer that the prophecy has no such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erence, or only remotely, here and there,</w:t>
        <w:br w:type="textWrapping"/>
        <w:t xml:space="preserve">and not as its principal subject. 2) Into</w:t>
        <w:br w:type="textWrapping"/>
        <w:t xml:space="preserve">whatever difficulty we may be led by the</w:t>
        <w:br w:type="textWrapping"/>
        <w:t xml:space="preserve">remark, it is no less true, that the “holy</w:t>
        <w:br w:type="textWrapping"/>
        <w:t xml:space="preserve">city” of ver. 2 cannot be the same as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8. This has been</w:t>
        <w:br w:type="textWrapping"/>
        <w:t xml:space="preserve">felt by the literal interpreters, and they</w:t>
        <w:br w:type="textWrapping"/>
        <w:t xml:space="preserve">have devised ingenious reasons why the</w:t>
        <w:br w:type="textWrapping"/>
        <w:t xml:space="preserve">holy city should afterwards be called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ity: so De Wette, “he named</w:t>
        <w:br w:type="textWrapping"/>
        <w:t xml:space="preserve">jerusalem the great city,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can</w:t>
        <w:br w:type="textWrapping"/>
        <w:t xml:space="preserve">no more call her holy after her desecration” [but he need not therefore call her</w:t>
        <w:br w:type="textWrapping"/>
        <w:t xml:space="preserve">great, by which epithet she is never</w:t>
        <w:br w:type="textWrapping"/>
        <w:t xml:space="preserve">called ],—D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“because it is impossible in one breath to call a city ‘holy,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‘Sodom and Egypt?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[most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then must we not look for some other city</w:t>
        <w:br w:type="textWrapping"/>
        <w:t xml:space="preserve">than one which this very prophecy has</w:t>
        <w:br w:type="textWrapping"/>
        <w:t xml:space="preserve">called holy?]. So far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says well,</w:t>
        <w:br w:type="textWrapping"/>
        <w:t xml:space="preserve">“But his saying,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streets of the</w:t>
        <w:br w:type="textWrapping"/>
        <w:t xml:space="preserve">great.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favour the</w:t>
        <w:br w:type="textWrapping"/>
        <w:t xml:space="preserve">literal sense. For it [Jerusalem] is never</w:t>
        <w:br w:type="textWrapping"/>
        <w:t xml:space="preserve">called the great city, but rather Nineveh</w:t>
        <w:br w:type="textWrapping"/>
        <w:t xml:space="preserve">and Babylon are ‘thus called: becau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called and but few chosen.” His</w:t>
        <w:br w:type="textWrapping"/>
        <w:t xml:space="preserve">other reason see in the interpretation below.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We are compelled, if I am not mistake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n, to carry the above considerations somewhat</w:t>
        <w:br w:type="textWrapping"/>
        <w:t xml:space="preserve">further, by the very conditions of the prophecy itself. For it is manifestly and undeniably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anticipatory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character. It</w:t>
        <w:br w:type="textWrapping"/>
        <w:t xml:space="preserve">is not, and cannot be, complete in itself.</w:t>
        <w:br w:type="textWrapping"/>
        <w:t xml:space="preserve">The words of ver. 7,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wild-beast which</w:t>
        <w:br w:type="textWrapping"/>
        <w:t xml:space="preserve">cometh up out of the abyss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bear no meaning where they stand, but require, in order</w:t>
        <w:br w:type="textWrapping"/>
        <w:t xml:space="preserve">to be understood at all, to be carried on</w:t>
        <w:br w:type="textWrapping"/>
        <w:t xml:space="preserve">into the succeeding visions of ch. xiii. ff.</w:t>
        <w:br w:type="textWrapping"/>
        <w:t xml:space="preserve">And if into those visions, then into a period</w:t>
        <w:br w:type="textWrapping"/>
        <w:t xml:space="preserve">when this wild-beast has received power</w:t>
        <w:br w:type="textWrapping"/>
        <w:t xml:space="preserve">from the dragon,—when, as in ch. xiii. 7,</w:t>
        <w:br w:type="textWrapping"/>
        <w:t xml:space="preserve">he makes war with the saints and conquers</w:t>
        <w:br w:type="textWrapping"/>
        <w:t xml:space="preserve">them, and all on earth except the elect are</w:t>
        <w:br w:type="textWrapping"/>
        <w:t xml:space="preserve">worshipping him. 4) Let us observe the</w:t>
        <w:br w:type="textWrapping"/>
        <w:t xml:space="preserve">result as affecting our interpretation. We</w:t>
        <w:br w:type="textWrapping"/>
        <w:t xml:space="preserve">are necessarily carried on by the very terms</w:t>
        <w:br w:type="textWrapping"/>
        <w:t xml:space="preserve">of our present compendious prophecy, into</w:t>
        <w:br w:type="textWrapping"/>
        <w:t xml:space="preserve">the midst of another prophecy, far more</w:t>
        <w:br w:type="textWrapping"/>
        <w:t xml:space="preserve">detailed and full of persons and incidents:</w:t>
        <w:br w:type="textWrapping"/>
        <w:t xml:space="preserve">of one which has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 city, its temple of</w:t>
        <w:br w:type="textWrapping"/>
        <w:t xml:space="preserve">God, its worshippers in it, its witness of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other coincident particulars.</w:t>
        <w:br w:type="textWrapping"/>
        <w:t xml:space="preserve">What inference does a sound principle of</w:t>
        <w:br w:type="textWrapping"/>
        <w:t xml:space="preserve">interpretation force upon us? What, if</w:t>
        <w:br w:type="textWrapping"/>
        <w:t xml:space="preserve">not this—that our present compendious</w:t>
        <w:br w:type="textWrapping"/>
        <w:t xml:space="preserve">prophecy, as in the particular of the beast</w:t>
        <w:br w:type="textWrapping"/>
        <w:t xml:space="preserve">that comes out of the abyss, so in its other</w:t>
        <w:br w:type="textWrapping"/>
        <w:t xml:space="preserve">features, must be understood as giving in</w:t>
        <w:br w:type="textWrapping"/>
        <w:t xml:space="preserve">summary, and introducing, that larger</w:t>
        <w:br w:type="textWrapping"/>
        <w:t xml:space="preserve">one? and consequently, that its terms are</w:t>
        <w:br w:type="textWrapping"/>
        <w:t xml:space="preserve">to be understood by those of that larger</w:t>
        <w:br w:type="textWrapping"/>
        <w:t xml:space="preserve">one, not servilely and literally where they</w:t>
        <w:br w:type="textWrapping"/>
        <w:t xml:space="preserve">stand? And observe, this is deduced from</w:t>
        <w:br w:type="textWrapping"/>
        <w:t xml:space="preserve">the very necessity of the case itself, as</w:t>
        <w:br w:type="textWrapping"/>
        <w:t xml:space="preserve">shewn in ver. 7, not from any system</w:t>
        <w:br w:type="textWrapping"/>
        <w:t xml:space="preserve">throwing its attraction forward and biassing</w:t>
        <w:br w:type="textWrapping"/>
        <w:t xml:space="preserve">our views.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cannot understand this</w:t>
        <w:br w:type="textWrapping"/>
        <w:t xml:space="preserve">prophecy at all, except in the light of</w:t>
        <w:br w:type="textWrapping"/>
        <w:t xml:space="preserve">those that follow: for it introduces by</w:t>
        <w:br w:type="textWrapping"/>
        <w:t xml:space="preserve">anticipation their dramatis personae.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5)</w:t>
        <w:br w:type="textWrapping"/>
        <w:t xml:space="preserve">If I mistake not, we thus gain much light</w:t>
        <w:br w:type="textWrapping"/>
        <w:t xml:space="preserve">on the difficulties of this prophecy. If it</w:t>
        <w:br w:type="textWrapping"/>
        <w:t xml:space="preserve">is a compendium of the more detailed prophecies which follow, opening the great</w:t>
        <w:br w:type="textWrapping"/>
        <w:t xml:space="preserve">series regarding God’s church, and reaching forward to the time of the seventh</w:t>
        <w:br w:type="textWrapping"/>
        <w:t xml:space="preserve">trumpet, then its separate parts, so hard</w:t>
        <w:br w:type="textWrapping"/>
        <w:t xml:space="preserve">to assign on any other view, at once fall</w:t>
        <w:br w:type="textWrapping"/>
        <w:t xml:space="preserve">into their places, Then, e.g. we at once</w:t>
        <w:br w:type="textWrapping"/>
        <w:t xml:space="preserve">know what is meant by the temple and its</w:t>
        <w:br w:type="textWrapping"/>
        <w:t xml:space="preserve">worshippers, viz, that these expressions are</w:t>
        <w:br w:type="textWrapping"/>
        <w:t xml:space="preserve">identical in reference with those others in</w:t>
        <w:br w:type="textWrapping"/>
        <w:t xml:space="preserve">the subsequent prophecy which point out</w:t>
        <w:br w:type="textWrapping"/>
        <w:t xml:space="preserve">an elect remnant, a Goshen in Egypt,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yPwCGX4QylPr8NbZsbLK73XZzg==">CgMxLjA4AHIhMWoyZURGOTBRZTlUMi1MWmJHbTBzM0tPZzB0cHNBZ05f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