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earth have been made drunk from the wine</w:t>
        <w:br w:type="textWrapping"/>
        <w:t xml:space="preserve">of her fornication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figure here used,</w:t>
        <w:br w:type="textWrapping"/>
        <w:t xml:space="preserve">of a harlot who has committed fornication</w:t>
        <w:br w:type="textWrapping"/>
        <w:t xml:space="preserve">with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lar kings and peoples, is frequent</w:t>
        <w:br w:type="textWrapping"/>
        <w:t xml:space="preserve">in the prophets, and has one principal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application, viz. to God’s</w:t>
        <w:br w:type="textWrapping"/>
        <w:t xml:space="preserve">church and people that had forsaken Him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attached herself to others. In eighteen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places out of twenty-one where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figure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occurs, such is its import;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vis. in Isa. i. 21;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Jer. ii, 20, iii. 1, 6,8; Ezek. xvi. 15, 16,</w:t>
        <w:br w:type="textWrapping"/>
        <w:t xml:space="preserve">28,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1, 35, 41, xxiii 5, 19, 44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Hosea</w:t>
        <w:br w:type="textWrapping"/>
        <w:t xml:space="preserve">ii. 5, iii. 3, iv. 15 [Micah 7]. In three</w:t>
        <w:br w:type="textWrapping"/>
        <w:t xml:space="preserve">places onl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word applied to heathen</w:t>
        <w:br w:type="textWrapping"/>
        <w:t xml:space="preserve">cities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viz.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Isa, xxii, 15, 16 to Tyre,</w:t>
        <w:br w:type="textWrapping"/>
        <w:t xml:space="preserve">where, ver. 17, it is also said, “she shall</w:t>
        <w:br w:type="textWrapping"/>
        <w:t xml:space="preserve">commit fornication with all the kingdoms</w:t>
        <w:br w:type="textWrapping"/>
        <w:t xml:space="preserve">of the world upon the face of the earth:”</w:t>
        <w:br w:type="textWrapping"/>
        <w:t xml:space="preserve">and in Nahum iii. 4 to Nineveh, which is</w:t>
        <w:br w:type="textWrapping"/>
        <w:t xml:space="preserve">called the well-favoured harlot, the mistress</w:t>
        <w:br w:type="textWrapping"/>
        <w:t xml:space="preserve">of witchcrafts, that selleth nations through</w:t>
        <w:br w:type="textWrapping"/>
        <w:t xml:space="preserve">her whoredoms, and families through her</w:t>
        <w:br w:type="textWrapping"/>
        <w:t xml:space="preserve">witch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rafts. And there the thre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pronounced of a very similar ruin to that</w:t>
        <w:br w:type="textWrapping"/>
        <w:t xml:space="preserve">which befalls Babylon here. So that the</w:t>
        <w:br w:type="textWrapping"/>
        <w:t xml:space="preserve">Scripture analogy, while it points to unfaithfulness and treachery against God’s</w:t>
        <w:br w:type="textWrapping"/>
        <w:t xml:space="preserve">covenant, also brings to mind extensive</w:t>
        <w:br w:type="textWrapping"/>
        <w:t xml:space="preserve">empire and wide-spread rule over the kingdoms of the earth. It is true, that as far</w:t>
        <w:br w:type="textWrapping"/>
        <w:t xml:space="preserve">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image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concerned, pagan</w:t>
        <w:br w:type="textWrapping"/>
        <w:t xml:space="preserve">Rome as well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fulfils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 requirements 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yre and Nineveh. It will depend on</w:t>
        <w:br w:type="textWrapping"/>
        <w:t xml:space="preserve">subsequent features in the description</w:t>
        <w:br w:type="textWrapping"/>
        <w:t xml:space="preserve">whether we are to bound our view with</w:t>
        <w:br w:type="textWrapping"/>
        <w:t xml:space="preserve">her history and overthrow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Still, it will</w:t>
        <w:br w:type="textWrapping"/>
        <w:t xml:space="preserve">not be desirable to wait for the solution</w:t>
        <w:br w:type="textWrapping"/>
        <w:t xml:space="preserve">of this question till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arrive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the point</w:t>
        <w:br w:type="textWrapping"/>
        <w:t xml:space="preserve">where those features appear: for by so</w:t>
        <w:br w:type="textWrapping"/>
        <w:t xml:space="preserve">doing much of our intermediate exegesis</w:t>
        <w:br w:type="textWrapping"/>
        <w:t xml:space="preserve">will necessarily be obscured. The decisive</w:t>
        <w:br w:type="textWrapping"/>
        <w:t xml:space="preserve">test then which may at once be applied to</w:t>
        <w:br w:type="textWrapping"/>
        <w:t xml:space="preserve">solve the question, is derived from the</w:t>
        <w:br w:type="textWrapping"/>
        <w:t xml:space="preserve">prophecy of the destruction of Babylon in</w:t>
        <w:br w:type="textWrapping"/>
        <w:t xml:space="preserve">ch. xviii.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to be laid utterly waste,</w:t>
        <w:br w:type="textWrapping"/>
        <w:t xml:space="preserve">aud to “become the habitation of devils,</w:t>
        <w:br w:type="textWrapping"/>
        <w:t xml:space="preserve">and the hold of every foul spirit,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a</w:t>
        <w:br w:type="textWrapping"/>
        <w:t xml:space="preserve">cage of every unclean and hateful bird.”</w:t>
        <w:br w:type="textWrapping"/>
        <w:t xml:space="preserve">Now no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destruction as this has ye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befallen Rome,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less her transfer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pagan to papal rule be such a destruction,</w:t>
        <w:br w:type="textWrapping"/>
        <w:t xml:space="preserve">and the Pope and his ecclesiastics be described in the above terms. In an eloquent passage of Vitringa, he presses Bossuet</w:t>
        <w:br w:type="textWrapping"/>
        <w:t xml:space="preserve">with this dilemma. Again, it is said</w:t>
        <w:br w:type="textWrapping"/>
        <w:t xml:space="preserve">of this harlot,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 whom the kings of</w:t>
        <w:br w:type="textWrapping"/>
        <w:t xml:space="preserve">the earth committed fornication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But</w:t>
        <w:br w:type="textWrapping"/>
        <w:t xml:space="preserve">we may ask, if this be pagan Rome, who</w:t>
        <w:br w:type="textWrapping"/>
        <w:t xml:space="preserve">and what are these kings, and what is indicated by her having been the object of their</w:t>
        <w:br w:type="textWrapping"/>
        <w:t xml:space="preserve">lustful desires? In the days of Imperial</w:t>
        <w:br w:type="textWrapping"/>
        <w:t xml:space="preserve">Rome, there were no independent kings of</w:t>
        <w:br w:type="textWrapping"/>
        <w:t xml:space="preserve">the earth except in Parthia and Persia.</w:t>
        <w:br w:type="textWrapping"/>
        <w:t xml:space="preserve">Rome in her pagan state, as described for</w:t>
        <w:br w:type="textWrapping"/>
        <w:t xml:space="preserve">the purpose of identification in ver, 18, was</w:t>
        <w:br w:type="textWrapping"/>
        <w:t xml:space="preserve">not one who intrigued with the kings of</w:t>
        <w:br w:type="textWrapping"/>
        <w:t xml:space="preserve">the earth, but “she which hath kingdom</w:t>
        <w:br w:type="textWrapping"/>
        <w:t xml:space="preserve">over the Kings of the earth:” she reigned</w:t>
        <w:br w:type="textWrapping"/>
        <w:t xml:space="preserve">over them with undisputed and crushing</w:t>
        <w:br w:type="textWrapping"/>
        <w:t xml:space="preserve">sway.</w:t>
        <w:br w:type="textWrapping"/>
        <w:t xml:space="preserve">I do not hesitate therefore, induced</w:t>
        <w:br w:type="textWrapping"/>
        <w:t xml:space="preserve">mainly by these considerations, which will</w:t>
        <w:br w:type="textWrapping"/>
        <w:t xml:space="preserve">be confirmed as we proceed step by step in</w:t>
        <w:br w:type="textWrapping"/>
        <w:t xml:space="preserve">the prophecy, to maintain that interpretation which regards papal and not pagan</w:t>
        <w:br w:type="textWrapping"/>
        <w:t xml:space="preserve">Rome as pointed out by the harlot of this</w:t>
        <w:br w:type="textWrapping"/>
        <w:t xml:space="preserve">vision.</w:t>
        <w:br w:type="textWrapping"/>
        <w:t xml:space="preserve">The “sitting upon many waters” is</w:t>
        <w:br w:type="textWrapping"/>
        <w:t xml:space="preserve">said of Babylon in Jer. in reff., but has</w:t>
        <w:br w:type="textWrapping"/>
        <w:t xml:space="preserve">here a symbolical meaning; see below, ver.</w:t>
        <w:br w:type="textWrapping"/>
        <w:t xml:space="preserve">15. On the drunkenness see ch. xiv. 8.</w:t>
        <w:br w:type="textWrapping"/>
        <w:t xml:space="preserve">‘The same thing is said of Babylon in Jer.</w:t>
        <w:br w:type="textWrapping"/>
        <w:t xml:space="preserve">l.e. But there she herself is the cup in</w:t>
        <w:br w:type="textWrapping"/>
        <w:t xml:space="preserve">the Lord’s hand).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{3}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angel)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carried me away to the wilderness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(not,</w:t>
        <w:br w:type="textWrapping"/>
        <w:t xml:space="preserve">as Elliott and others, and even Düsterdieck, “a wilderness.” ‘The most natural</w:t>
        <w:br w:type="textWrapping"/>
        <w:t xml:space="preserve">way of accounting for the Seer being taken</w:t>
        <w:br w:type="textWrapping"/>
        <w:t xml:space="preserve">into the wilderness here, is that he was to</w:t>
        <w:br w:type="textWrapping"/>
        <w:t xml:space="preserve">be shewn Babylon, which was in the wilderness, and the overthrow of which, in the</w:t>
        <w:br w:type="textWrapping"/>
        <w:t xml:space="preserve">prophecy from which come the very words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Babylon is fallen, is fallen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(Isa. xxi. 9),</w:t>
        <w:br w:type="textWrapping"/>
        <w:t xml:space="preserve">is headed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vision of the wilderness.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So that by the analogy of prophecy, the:</w:t>
        <w:br w:type="textWrapping"/>
        <w:t xml:space="preserve">journey to witness the fall of Babylon</w:t>
        <w:br w:type="textWrapping"/>
        <w:t xml:space="preserve">would be to the wilderness. The question</w:t>
        <w:br w:type="textWrapping"/>
        <w:t xml:space="preserve">of the identity of this woman with the</w:t>
        <w:br w:type="textWrapping"/>
        <w:t xml:space="preserve">woman in ch, xii. is not affected by that of</w:t>
        <w:br w:type="textWrapping"/>
        <w:t xml:space="preserve">the identity of this wilderness with that)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K8/83vnSA/9FdwE+jWx+e/bkqw==">CgMxLjA4AHIhMWJtcmR6eU5oQ29vUklmaTRLTVFhbkNyLVhET2ZfZUds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