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stuff, and of scarlet stuff, and all citron</w:t>
        <w:br w:type="textWrapping"/>
        <w:t xml:space="preserve">wood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wood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thyon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tree, the</w:t>
        <w:br w:type="textWrapping"/>
        <w:t xml:space="preserve">citrus of the Romans, probably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cupressus thyioides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thuia articulata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It was used for costly doors, with fittings</w:t>
        <w:br w:type="textWrapping"/>
        <w:t xml:space="preserve">of ivory, and for tables. It had a sweet</w:t>
        <w:br w:type="textWrapping"/>
        <w:t xml:space="preserve">smell),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every article of ivory, and</w:t>
        <w:br w:type="textWrapping"/>
        <w:t xml:space="preserve">every article of most costly wood, and</w:t>
        <w:br w:type="textWrapping"/>
        <w:t xml:space="preserve">of brass, and of iron, and of marble;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{13}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cinnamon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(it is not certain, whether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cinnamomum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ancients was the</w:t>
        <w:br w:type="textWrapping"/>
        <w:t xml:space="preserve">same as our cinnamon, Various accounts</w:t>
        <w:br w:type="textWrapping"/>
        <w:t xml:space="preserve">are given of its origin, but Herodotus, who</w:t>
        <w:br w:type="textWrapping"/>
        <w:t xml:space="preserve">ascribes it to the country where Dionysus</w:t>
        <w:br w:type="textWrapping"/>
        <w:t xml:space="preserve">[Bacchus] was born, i.e. to India, seems</w:t>
        <w:br w:type="textWrapping"/>
        <w:t xml:space="preserve">to give the right statement, if at least</w:t>
        <w:br w:type="textWrapping"/>
        <w:t xml:space="preserve">it is the modern cinnamon, which comes</w:t>
        <w:br w:type="textWrapping"/>
        <w:t xml:space="preserve">from Ceylon. In Exod. xiii, 23, it is an</w:t>
        <w:br w:type="textWrapping"/>
        <w:t xml:space="preserve">ingredient, in the holy oil for anointing:</w:t>
        <w:br w:type="textWrapping"/>
        <w:t xml:space="preserve">in Prov. vii, 17 it is one of the perfumes</w:t>
        <w:br w:type="textWrapping"/>
        <w:t xml:space="preserve">of the bed of the adulteress: in Cant. iv.</w:t>
        <w:br w:type="textWrapping"/>
        <w:t xml:space="preserve">14 it is one of the plants growing in the</w:t>
        <w:br w:type="textWrapping"/>
        <w:t xml:space="preserve">garden of the beloved),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amomum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</w:t>
        <w:br w:type="textWrapping"/>
        <w:t xml:space="preserve">precious ointment made from an Asiatic</w:t>
        <w:br w:type="textWrapping"/>
        <w:t xml:space="preserve">shrub, and used for the hair),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odou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(for incense),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ointment, and frankincense, and wine, and oil, and fine meal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semidalis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simila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similago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  <w:t xml:space="preserve">Latins, the finest wheaten meal: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name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has been revived in our time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semolina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wheat, and cattle and sheep, and of</w:t>
        <w:br w:type="textWrapping"/>
        <w:t xml:space="preserve">horses and of chariots, and of bodies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</w:t>
        <w:br w:type="textWrapping"/>
        <w:t xml:space="preserve">slaves),—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(lit. souls)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men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(so the A. V. for the corresponding Hebrew expression, Ezek. xxvii. 13, which</w:t>
        <w:br w:type="textWrapping"/>
        <w:t xml:space="preserve">the Septuagint render aa here,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souls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seems vain to attempt to draw</w:t>
        <w:br w:type="textWrapping"/>
        <w:t xml:space="preserve">a distinction between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</w:t>
        <w:br w:type="textWrapping"/>
        <w:t xml:space="preserve">mentioned and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men. If any is to be sought, the most</w:t>
        <w:br w:type="textWrapping"/>
        <w:t xml:space="preserve">obvious is that pointed out by Bengel, and</w:t>
        <w:br w:type="textWrapping"/>
        <w:t xml:space="preserve">adopted by Ewald, Hengstenberg, and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 such</w:t>
        <w:br w:type="textWrapping"/>
        <w:t xml:space="preserve">slaves as belong to the horses and chariots,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persons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slaves in general).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verse takes the form of a</w:t>
        <w:br w:type="textWrapping"/>
        <w:t xml:space="preserve">direct address, and then in the next the</w:t>
        <w:br w:type="textWrapping"/>
        <w:t xml:space="preserve">merchants are taken up again. From this</w:t>
        <w:br w:type="textWrapping"/>
        <w:t xml:space="preserve">some have thought that it is not in its</w:t>
        <w:br w:type="textWrapping"/>
        <w:t xml:space="preserve">right place: e.g. Beza and Vitringa fancied it should be inserted after ver. 23:</w:t>
        <w:br w:type="textWrapping"/>
        <w:t xml:space="preserve">others, as Ewald, that it was originally</w:t>
        <w:br w:type="textWrapping"/>
        <w:t xml:space="preserve">a marginal addition by the Writer. But</w:t>
        <w:br w:type="textWrapping"/>
        <w:t xml:space="preserve">irregular as is the insertion, it need not</w:t>
        <w:br w:type="textWrapping"/>
        <w:t xml:space="preserve">occasion any real difficulty. It takes up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weep and mourn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11, as if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after those verbs had been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which is not unnatural in a rhapsodical</w:t>
        <w:br w:type="textWrapping"/>
        <w:t xml:space="preserve">passage.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15,</w:t>
        <w:br w:type="textWrapping"/>
        <w:t xml:space="preserve">refers very naturally back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things and splendid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mentioned</w:t>
        <w:br w:type="textWrapping"/>
        <w:t xml:space="preserve">in this verse.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thy harvest of the</w:t>
        <w:br w:type="textWrapping"/>
        <w:t xml:space="preserve">desire of thy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ingathering</w:t>
        <w:br w:type="textWrapping"/>
        <w:t xml:space="preserve">of the dainties and luxuries which thy</w:t>
        <w:br w:type="textWrapping"/>
        <w:t xml:space="preserve">soul lusted after)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 departed from</w:t>
        <w:br w:type="textWrapping"/>
        <w:t xml:space="preserve">thee, and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 things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splendid things have perished from thee,</w:t>
        <w:br w:type="textWrapping"/>
        <w:t xml:space="preserve">and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never more at all</w:t>
        <w:br w:type="textWrapping"/>
        <w:t xml:space="preserve">find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next two verses describe, in strict</w:t>
        <w:br w:type="textWrapping"/>
        <w:t xml:space="preserve">analogy with vv. 9, 10, the attitude and</w:t>
        <w:br w:type="textWrapping"/>
        <w:t xml:space="preserve">the lamentation of these merchants.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ce7rfLT2oMmbouIGDgC3qYuvJA==">CgMxLjA4AHIhMVY3TFhUR0ZoVUQybVNtQ1JRU0hDcGg3NEctRUctOTl4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