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Introduction, § i. parr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110, 111).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{14}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armies which are 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the holy angels only, but the glorified</w:t>
        <w:br w:type="textWrapping"/>
        <w:t xml:space="preserve">saints: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that are 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</w:t>
        <w:br w:type="textWrapping"/>
        <w:t xml:space="preserve">ch. xvii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14, who are spoken of in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ference to this very triumph, and are said</w:t>
        <w:br w:type="textWrapping"/>
        <w:t xml:space="preserve">to be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called and chosen and 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followed Him upon white horses, clothe</w:t>
        <w:br w:type="textWrapping"/>
        <w:t xml:space="preserve">in fine linen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[raiment],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white, pure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clothing also speaks for the saints</w:t>
        <w:br w:type="textWrapping"/>
        <w:t xml:space="preserve">being included in the triumphal procession: see ver. 8, and ch.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vi. 11), {15}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 out of His mouth goeth forth a sharp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sword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ch. i. 16, ii. 12, 16),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(as invested in or with)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He may smite</w:t>
        <w:br w:type="textWrapping"/>
        <w:t xml:space="preserve">the nations; and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emphasis in this and the following claus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however would be</w:t>
        <w:br w:type="textWrapping"/>
        <w:t xml:space="preserve">too strongly rendered by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</w:t>
        <w:br w:type="textWrapping"/>
        <w:t xml:space="preserve">rule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ii. 27, xii. 5, and 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(their component members)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 rod of</w:t>
        <w:br w:type="textWrapping"/>
        <w:t xml:space="preserve">iron: and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(and none other, as we know</w:t>
        <w:br w:type="textWrapping"/>
        <w:t xml:space="preserve">from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treadeth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His office</w:t>
        <w:br w:type="textWrapping"/>
        <w:t xml:space="preserve">to tread)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winepress of the wine of the</w:t>
        <w:br w:type="textWrapping"/>
        <w:t xml:space="preserve">fierceness of the wrath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outbreak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of the anger: see on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xvi. 19)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Almighty God. {16}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hath upon His</w:t>
        <w:br w:type="textWrapping"/>
        <w:t xml:space="preserve">vesture and upon His thigh a name</w:t>
        <w:br w:type="textWrapping"/>
        <w:t xml:space="preserve">written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most naturally, written at</w:t>
        <w:br w:type="textWrapping"/>
        <w:t xml:space="preserve">length, partly on the vesture, partly on the:</w:t>
        <w:br w:type="textWrapping"/>
        <w:t xml:space="preserve">thigh itself; at the part where, in an</w:t>
        <w:br w:type="textWrapping"/>
        <w:t xml:space="preserve">equestrian figure, the robe drops from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thigh. The usual way of taking the</w:t>
        <w:br w:type="textWrapping"/>
        <w:t xml:space="preserve">words is to suppose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explanatory</w:t>
        <w:br w:type="textWrapping"/>
        <w:t xml:space="preserve">or definitive of the former words, “on</w:t>
        <w:br w:type="textWrapping"/>
        <w:t xml:space="preserve">His vesture,” and that on the part of</w:t>
        <w:br w:type="textWrapping"/>
        <w:t xml:space="preserve">it covering His thigh. Others imagine</w:t>
        <w:br w:type="textWrapping"/>
        <w:t xml:space="preserve">a sword, on the hilt of which the name</w:t>
        <w:br w:type="textWrapping"/>
        <w:t xml:space="preserve">is inscribed, But there is no trace of this</w:t>
        <w:br w:type="textWrapping"/>
        <w:t xml:space="preserve">in the text. Cicero describes “a beautiful</w:t>
        <w:br w:type="textWrapping"/>
        <w:t xml:space="preserve">figure of Apollo, on whose thigh was inscribed in small silver letters the name of</w:t>
        <w:br w:type="textWrapping"/>
        <w:t xml:space="preserve">the artist, Myro: and Pausanias speaks</w:t>
        <w:br w:type="textWrapping"/>
        <w:t xml:space="preserve">of the dedicatory inscription of a statue</w:t>
        <w:br w:type="textWrapping"/>
        <w:t xml:space="preserve">being engraved on its thigh),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King of</w:t>
        <w:br w:type="textWrapping"/>
        <w:t xml:space="preserve">Kings, and Lord of Lords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(ch. xvii. 14).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17—21.]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Defeat and destruction of the</w:t>
        <w:br w:type="textWrapping"/>
        <w:t xml:space="preserve">beast and the false prophet and the kings</w:t>
        <w:br w:type="textWrapping"/>
        <w:t xml:space="preserve">of the earths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preceded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(17, 18) 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angelic proclamation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indicating the vastness of the slaughter.</w:t>
        <w:br w:type="textWrapping"/>
        <w:t xml:space="preserve">{17}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 saw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 one)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angel</w:t>
        <w:br w:type="textWrapping"/>
        <w:t xml:space="preserve">standing in the sun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only as the</w:t>
        <w:br w:type="textWrapping"/>
        <w:t xml:space="preserve">place of brightness and glory becoming the</w:t>
        <w:br w:type="textWrapping"/>
        <w:t xml:space="preserve">herald of so great a victory, but also as</w:t>
        <w:br w:type="textWrapping"/>
        <w:t xml:space="preserve">the central station in mid-heaven for</w:t>
        <w:br w:type="textWrapping"/>
        <w:t xml:space="preserve">those to whom the call was to be made):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he cried with a great voice, saying</w:t>
        <w:br w:type="textWrapping"/>
        <w:t xml:space="preserve">to all the birds which fly in mid-heaven,</w:t>
        <w:br w:type="textWrapping"/>
        <w:t xml:space="preserve">Come, be gathered together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(see, on the</w:t>
        <w:br w:type="textWrapping"/>
        <w:t xml:space="preserve">whole of this proclamation, Ezek. xxxix.</w:t>
        <w:br w:type="textWrapping"/>
        <w:t xml:space="preserve">17 ff., of which it is a close reproduction: also Matt. xxiv. 28)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 great</w:t>
        <w:br w:type="textWrapping"/>
        <w:t xml:space="preserve">banquet of God, {18}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ye may eat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vMKBFMgehENJCNKSe4lCSVV32Q==">CgMxLjA4AHIhMWdPd2xVS0d6ejJaMlN6N3VJXy1zek56UWxmQXY2T2V3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