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5—10.                         ST.  MATTHEW.                                   89                 </w:t>
        <w:br/>
        <w:t xml:space="preserve">                                                                                                            </w:t>
        <w:br/>
        <w:t xml:space="preserve">           Father    which    art   in  heaven,    Hallowed     be  thy   name.                             </w:t>
        <w:br/>
        <w:t xml:space="preserve">                                         ®Thy   will  be done   in earth,  as  it "ee fo.                   </w:t>
        <w:br/>
        <w:t xml:space="preserve">           10 Thy   kingdom     come.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we  may  remark,  1. The whole  passage,  primary emphasis, cannot well be other-                </w:t>
        <w:br/>
        <w:t xml:space="preserve">           vv. 7—15,  is digressive     the subject  wise understood than ‘in these       as                </w:t>
        <w:br/>
        <w:t xml:space="preserve">           of the first    of this chapter,      is  a specimen of the Christian’s      (the                </w:t>
        <w:br/>
        <w:t xml:space="preserve">           the discouragement of the performance of  ye holds the second place emphasis), no                </w:t>
        <w:br/>
        <w:t xml:space="preserve">           religious      to be seen of men, and is  less than its        This, which would                 </w:t>
        <w:br/>
        <w:t xml:space="preserve">           resumed  at ver. 16.  Neander  therefore  be the inference     the context here,                 </w:t>
        <w:br/>
        <w:t xml:space="preserve">           supposes that this pa:    has found  its  decided tor us by Luke  xi. 2, when ye                 </w:t>
        <w:br/>
        <w:t xml:space="preserve">           way  in here as a sort of accompaniment   pray, say—.      Our Father] This was a                </w:t>
        <w:br/>
        <w:t xml:space="preserve">           to the preceding verses, isin reality     form of address almost unknown   to the                </w:t>
        <w:br/>
        <w:t xml:space="preserve">           answer of our Lord to the      in  Luke   Old Covenant:  now  and then hinted at,                </w:t>
        <w:br/>
        <w:t xml:space="preserve">           xi. 1, more fully detailed than by that   as reminding the children of their                     </w:t>
        <w:br/>
        <w:t xml:space="preserve">           Evangelist. But  to this I cannot assent, lion (Isa. 2: Mal. i.  or mentioned  as                </w:t>
        <w:br/>
        <w:t xml:space="preserve">           believing our Lord’s         as given by  a last       of the orphan and desolate                </w:t>
        <w:br/>
        <w:t xml:space="preserve">           this evangelist to be no  collections of  creature (Isa.   16) ; but     brought                 </w:t>
        <w:br/>
        <w:t xml:space="preserve">           scattered sayings,   veritable reports   out in its fulness, indeed it    not be,                </w:t>
        <w:br/>
        <w:t xml:space="preserve">           continuons utterances. That the    request till  was  come by  whom  we  have re-                </w:t>
        <w:br/>
        <w:t xml:space="preserve">           related in Luke  should afterwards   have ceived the        of sons. “The  prayer                </w:t>
        <w:br/>
        <w:t xml:space="preserve">           been made, and similarly answered, is by  is a fraternal one; He  saith  not,  My                </w:t>
        <w:br/>
        <w:t xml:space="preserve">           no  means  improbable. (That  he should   Father, as  prayed for himself     bat                 </w:t>
        <w:br/>
        <w:t xml:space="preserve">           have thus related with this gospel        Our Father, as embracing in   prayer all               </w:t>
        <w:br/>
        <w:t xml:space="preserve">           Aim, is more than improbable.) 2. It has  who  are known  as brethren in Christ.”                </w:t>
        <w:br/>
        <w:t xml:space="preserve">           been questioned whether  the prayer was   Aug.       which  art in heaven] These                 </w:t>
        <w:br/>
        <w:t xml:space="preserve">                 led in   very earliest    as a set  opening words of the Lord’s  Prayer set                </w:t>
        <w:br/>
        <w:t xml:space="preserve">           form  delivered for liturgical   by our   clearly before  the state of the Chris-                </w:t>
        <w:br/>
        <w:t xml:space="preserve">           Lord.  The variations in Luke have been   tian, as believing in, depending  upon,                </w:t>
        <w:br/>
        <w:t xml:space="preserve">           regarded as fatal  the supposition of its praying to, real objective        Gop,                 </w:t>
        <w:br/>
        <w:t xml:space="preserve">           being used liturgically  the time when   lifted above himself to approach whom he                </w:t>
        <w:br/>
        <w:t xml:space="preserve">           these Gospels were written. But see      must  lift  his heart, as the eye  lifted               </w:t>
        <w:br/>
        <w:t xml:space="preserve">           on Luke xi.1.  It must be confessed,-that up from earth to heaven. This strikes at               </w:t>
        <w:br/>
        <w:t xml:space="preserve">           we  find very few traces of such use in  the  root of all pantheistic error,                     </w:t>
        <w:br/>
        <w:t xml:space="preserve">           early times. Tholuck remarks,   does not regards the spirit man  as identical                    </w:t>
        <w:br/>
        <w:t xml:space="preserve">           occur in the Acts, nor in any writers     the Spirit  God,—and  at the root of all               </w:t>
        <w:br/>
        <w:t xml:space="preserve">           fore the third         In Justin Martyr  deism, testifying us it does our relation               </w:t>
        <w:br/>
        <w:t xml:space="preserve">           we  find, that the  minister prays ‘ac-   toand covenant dependence on   heavenly                </w:t>
        <w:br/>
        <w:t xml:space="preserve">           cording to his power’...   Cyprian  and   Father.      The  local heavens are no                 </w:t>
        <w:br/>
        <w:t xml:space="preserve">           Tertullian make the first mention of the  farther to be thought of  here, than as                </w:t>
        <w:br/>
        <w:t xml:space="preserve">           prayeras a ‘lawful and ordinary           Scripture,  a parallelism  things natu-                </w:t>
        <w:br/>
        <w:t xml:space="preserve">           An  allusion to it has been supposed to  ral and spiritual deeply         in our                 </w:t>
        <w:br/>
        <w:t xml:space="preserve">           exist in 2 Tim.  iv. 18, where see note.  race, universally    3  of heaven  and                 </w:t>
        <w:br/>
        <w:t xml:space="preserve">           3. The view of some  that our Lord gave  heavenly, as applying  to the habitation                </w:t>
        <w:br/>
        <w:t xml:space="preserve">           this, selecting out of forms known  and  and  perfections  the High and Holy One                 </w:t>
        <w:br/>
        <w:t xml:space="preserve">           in use, a8 a prayer ad inferim, till the  who inhabiteth Eternity.          lowed                </w:t>
        <w:br/>
        <w:t xml:space="preserve">           effusion of the Spirit  prayer, is inad- be thy name]  De Wette  observes: ‘God’s                </w:t>
        <w:br/>
        <w:t xml:space="preserve">           missible,  we have no traces of any such ‘Name  is not      His appellation,                     </w:t>
        <w:br/>
        <w:t xml:space="preserve">           temporary parpose  in our Saviour’s dis-  we speak- with the mouth, but  also and                </w:t>
        <w:br/>
        <w:t xml:space="preserve">           courses, and to suppose any such  would  principally the    which we attach to it,               </w:t>
        <w:br/>
        <w:t xml:space="preserve">           amount  to nothing less than to set       —His  Being, as far as it confessed, re-               </w:t>
        <w:br/>
        <w:t xml:space="preserve">           entirely aside. On the contrary,  work    vealed,  known.’  The ‘Name  of God’ in                </w:t>
        <w:br/>
        <w:t xml:space="preserve">           of the Holy Spirit on the        was, to Scripture is used to      that revelation               </w:t>
        <w:br/>
        <w:t xml:space="preserve">           bring to their     all things whatsoever  of  Himself which He has made  to men,                 </w:t>
        <w:br/>
        <w:t xml:space="preserve">           He      said unto them,   depth of such   which is all that we know of Him:  into                </w:t>
        <w:br/>
        <w:t xml:space="preserve">           sayings only then first being revealed    the depths  of His  Being, as it is, no                </w:t>
        <w:br/>
        <w:t xml:space="preserve">           them  by   Him who took of the things of  human  soul can           Soe John xvii.               </w:t>
        <w:br/>
        <w:t xml:space="preserve">           Christ and  shewed  them to  them, John   6: Rom. ix. 17.  Hallow here  is in the                </w:t>
        <w:br/>
        <w:t xml:space="preserve">           xiv. 26.      After this manner]  thus.   sense of    holy, sanctify in   hearts,                </w:t>
        <w:br/>
        <w:t xml:space="preserve">           Considering that other manners  of pray-  asin ref. Pet.   10. Thy kingdom come}                 </w:t>
        <w:br/>
        <w:t xml:space="preserve">           ing have been spoken of above, the “vain  Thy  kingdom  here is the fulness of the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