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cu.  1. §1.]       GENERAL        CHARACTERISTICS.             [intropuction.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CHAPTER          I.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ON   THE  THREE    FIRST   GOSPELS    GENERALLY.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SECTION      I.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GENERAL     CHARACTERISTICS     OF  THE   THREE    FIRST  GOSPELS.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1.  On  examining   the four  records of our  Lord’s  life on earth, the first                  </w:t>
        <w:br/>
        <w:t xml:space="preserve">         thing   which  demands    our  notice  is  the  distinctness,  in contents  and                    </w:t>
        <w:br/>
        <w:t xml:space="preserve">         character,  of  the three  first Gospels   from the  fourth.   This   difference                   </w:t>
        <w:br/>
        <w:t xml:space="preserve">         may   be  thus shortly  described.                                                                 </w:t>
        <w:br/>
        <w:t xml:space="preserve">            2.  St. Matthew,    St. Mark,   and  St. Luke,   in relating  His  ministry,                    </w:t>
        <w:br/>
        <w:t xml:space="preserve">         discourses,   and  miracles,  confine  themselves   exclusively  to the  events                    </w:t>
        <w:br/>
        <w:t xml:space="preserve">         which   took   place in Galilee,  until the  last journey  to Jerusalem.    No                     </w:t>
        <w:br/>
        <w:t xml:space="preserve">         incident  whatever   of His  ministry  in Judea   is related by  any of them  *.                   </w:t>
        <w:br/>
        <w:t xml:space="preserve">         Had   we   only  their accounts,  we   could never   with  any  certainty  have                    </w:t>
        <w:br/>
        <w:t xml:space="preserve">         asserted  that He   went  to Jerusalem  during  his public  life,     His  time                    </w:t>
        <w:br/>
        <w:t xml:space="preserve">         was  come   to be  delivered  up.   They   do  not, it is true, exclude  such  a                   </w:t>
        <w:br/>
        <w:t xml:space="preserve">         supposition,  but  rather perhaps   imply  it (see Matt. xxiii. 37;  xxvii. 57,                    </w:t>
        <w:br/>
        <w:t xml:space="preserve">         and  parallels ; also Matt.  iv. 12 as compared   with iv. 25,—Matt.   viii. 10,                   </w:t>
        <w:br/>
        <w:t xml:space="preserve">         xvi.  1); it could  not however    have  been  gathered   from  their narrative                    </w:t>
        <w:br/>
        <w:t xml:space="preserve">         with  any  historical precision.                                                                   </w:t>
        <w:br/>
        <w:t xml:space="preserve">            3. If  we   now   turn  to the  fourth   Gospel,  we   find  this deficiency                    </w:t>
        <w:br/>
        <w:t xml:space="preserve">         remarkably    supplied.    The  various  occasions  on  which   our Lord  went                     </w:t>
        <w:br/>
        <w:t xml:space="preserve">         up  to Jerusalem   are specified ; not  indeed with   any precision  of date or                    </w:t>
        <w:br/>
        <w:t xml:space="preserve">         sequence,   but  mainly   for  the  purpose  of  relating  the  discourses  and                    </w:t>
        <w:br/>
        <w:t xml:space="preserve">         miracles  by  which  they  were  signalized.                                                       </w:t>
        <w:br/>
        <w:t xml:space="preserve">            4. But  the  difference in character  between  the  three  first Evangelists                    </w:t>
        <w:br/>
        <w:t xml:space="preserve">         and  the  fourth  is even  more  striking.   While   their  employment    (with                    </w:t>
        <w:br/>
        <w:t xml:space="preserve">         the  sole  exception,  and   that  almost  exclusively   in  Matthew,    of the                    </w:t>
        <w:br/>
        <w:t xml:space="preserve">         application   of Old   Testament    prophecies  to  events  in the  life of our                    </w:t>
        <w:br/>
        <w:t xml:space="preserve">         Lord)   is narration  without comment,   the  fourth Evangelist    speaks  with                    </w:t>
        <w:br/>
        <w:t xml:space="preserve">         dogmatic    authority,  and  delivers  his  historical testimony  as  from  the                    </w:t>
        <w:br/>
        <w:t xml:space="preserve">         chair  of an Apostle.  In  no place  do they  claim the high  authority of eye-                    </w:t>
        <w:br/>
        <w:t xml:space="preserve">         witnesses  ; nay,  in the preface  to St. Luke’s  Gospel,  while  he vindicates                    </w:t>
        <w:br/>
        <w:t xml:space="preserve">         his diligent  care in tracing  down  the  course  of events  from  the first, he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 An  exception to this apparently occurs, if we adopt the remarkable  reading                   </w:t>
        <w:br/>
        <w:t xml:space="preserve">         « Judea,” Luke  iv. 44. But it is      to be pressed,        as it does not imply                  </w:t>
        <w:br/>
        <w:t xml:space="preserve">         any journey to the capital.                                                                        </w:t>
        <w:br/>
        <w:t xml:space="preserve">                 7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