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THE    THREE      GOSPELS.                       [cn. 1.           </w:t>
        <w:br/>
        <w:t xml:space="preserve">                                                                                                            </w:t>
        <w:br/>
        <w:t xml:space="preserve">                 implicitly disclaims  such  authority.  This  claim  is, however,  advanced   in           </w:t>
        <w:br/>
        <w:t xml:space="preserve">                 direct  terms  by  St.  John   (see below,   ch. v.  § ii. 1).  Again,   in the            </w:t>
        <w:br/>
        <w:t xml:space="preserve">                 character  of our  Lord’s  discourses, reported  by  the Three,   we  have  the            </w:t>
        <w:br/>
        <w:t xml:space="preserve">                 same   distinctness.  While   His   sayings  and  parables   in  their Gospels             </w:t>
        <w:br/>
        <w:t xml:space="preserve">                “almost  exclusively  have  reference  to His dealings  with us, and  the nature            </w:t>
        <w:br/>
        <w:t xml:space="preserve">                 of His  kingdom   among    men,  those  related by  St. John   regard, as well,            </w:t>
        <w:br/>
        <w:t xml:space="preserve">                 the deeper  subjects of His own  essential attributes  and covenant  purposes;             </w:t>
        <w:br/>
        <w:t xml:space="preserve">                 referring  indeed  often and  directly to His  relations with  His  people  and            </w:t>
        <w:br/>
        <w:t xml:space="preserve">                 the  unbelieving  world,  but  usually  as  illustrating those  attributes, and            </w:t>
        <w:br/>
        <w:t xml:space="preserve">                 the  unfolding  of those purposes.    That   there are exceptions   to this (see           </w:t>
        <w:br/>
        <w:t xml:space="preserve">                 e.g.  Matt.  xi. 27:  Luke  x. 22)  is only to be  expected  from  that  merci-            </w:t>
        <w:br/>
        <w:t xml:space="preserve">                 ful condescension   by which   God, in giving  us the Gospel   records through             </w:t>
        <w:br/>
        <w:t xml:space="preserve">                 the  different media  of individual  minds   and  apprehensions,   has yet  fur-           </w:t>
        <w:br/>
        <w:t xml:space="preserve">                 nished  us with  enough   common   features  in them  all, to satisfy us of the            </w:t>
        <w:br/>
        <w:t xml:space="preserve">                 unity  and  truthfulness  of their testimony  to His  blessed  Son.                        </w:t>
        <w:br/>
        <w:t xml:space="preserve">                    5. Reserving   further remarks   on the character  of St.  John’s Gospel  for           </w:t>
        <w:br/>
        <w:t xml:space="preserve">                 their  proper  place, I further  notice that  the three, in  their narration  of           </w:t>
        <w:br/>
        <w:t xml:space="preserve">                 our  Lord’s  ministry, proceed  in the  main  upon  a common    outline.   This            </w:t>
        <w:br/>
        <w:t xml:space="preserve">                 outline  is variously filled up, and variously  interrupted ; but is still easily          </w:t>
        <w:br/>
        <w:t xml:space="preserve">                  to be traced, as running   through  the middle   and  largest section  of each            </w:t>
        <w:br/>
        <w:t xml:space="preserve">                 of  their Gospels.                                                                         </w:t>
        <w:br/>
        <w:t xml:space="preserve">                    6. Besides   this large  portion,  each  Gospel   contains  some   prefatory            </w:t>
        <w:br/>
        <w:t xml:space="preserve">                 matter   regarding  the time  before  the commencement     of  the Ministry,—              </w:t>
        <w:br/>
        <w:t xml:space="preserve">                 a  detailed  history  of the  Passion,—fragmentary      notices  of the  Resur-            </w:t>
        <w:br/>
        <w:t xml:space="preserve">                  rection, and  a  conclusion.    These   will be   separately  treated   of and            </w:t>
        <w:br/>
        <w:t xml:space="preserve">                  compared   in  the  following  sections,  and  more   at  large  in the  Com-             </w:t>
        <w:br/>
        <w:t xml:space="preserve">                  mentary.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SECTION       II.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THEIR   INDEPENDENCE      OF  ONE   ANOTHER.                              </w:t>
        <w:br/>
        <w:t xml:space="preserve">                                                                                                            </w:t>
        <w:br/>
        <w:t xml:space="preserve">                     1.  Having   these  three  accounts    of one   and  the   eame   Life  and            </w:t>
        <w:br/>
        <w:t xml:space="preserve">                  Ministry   of our  Lord,  it is an  important  enquiry   for us, how  far  they           </w:t>
        <w:br/>
        <w:t xml:space="preserve">                  may  be considered  as  distinct narratives,—how   far  as  borrowed  one from            </w:t>
        <w:br/>
        <w:t xml:space="preserve">                  another,   It is obvious  that this enquiry  can only,  in the absence  of any            </w:t>
        <w:br/>
        <w:t xml:space="preserve">                  direct historical testimony,  be conducted    by careful  examination   of their          </w:t>
        <w:br/>
        <w:t xml:space="preserve">                  contents.  Such   examination    however   has  conducted    enquirers  to  the           </w:t>
        <w:br/>
        <w:t xml:space="preserve">                  most   various  and  inconsistent   results.   Different   hypotheses   of  the           </w:t>
        <w:br/>
        <w:t xml:space="preserve">                  mutual  interdependence    of the  three have  been   made,  embracing   every            </w:t>
        <w:br/>
        <w:t xml:space="preserve">                  possible  permutation    of their  order’.    To  support   these  hypotheses,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3 1, That Matthew  wrote first—that Mark used his Gospel—and  then Luke  both           </w:t>
        <w:br/>
        <w:t xml:space="preserve">                  these. This is held  Grotius, Mill,         Townson, Hug, &amp;c., and Greswell, who          </w:t>
        <w:br/>
        <w:t xml:space="preserve">                          8]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