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§ v.J         THEIR     FRAGMENTARY             NATURE.       [mnrxopuction.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important   reasons  why   the  incidents  should  be  different ;—but   rather                    </w:t>
        <w:br/>
        <w:t xml:space="preserve">         examining    critically the   features  of   the  incidents  themselves,   and                     </w:t>
        <w:br/>
        <w:t xml:space="preserve">         discerning  and  determining   upon  the  evidence  furnished  by  them.                           </w:t>
        <w:br/>
        <w:t xml:space="preserve">            6. The  circumstances  and  nature of our  Lord’s  discourses must  be taken                    </w:t>
        <w:br/>
        <w:t xml:space="preserve">         into account.   Judging   4 priori, the probability  is, that He repeated  most                    </w:t>
        <w:br/>
        <w:t xml:space="preserve">         of His  important  sayings  many   times over, with more  or  less variation, to                   </w:t>
        <w:br/>
        <w:t xml:space="preserve">         different audiences, but in the hearing  of the same   apostolic witnesses.  If                    </w:t>
        <w:br/>
        <w:t xml:space="preserve">         now  these  witnesses  by their independent   narratives  have  originated our                     </w:t>
        <w:br/>
        <w:t xml:space="preserve">         present  Gospels,  what  can  be more  likely  than that these sayings  should                     </w:t>
        <w:br/>
        <w:t xml:space="preserve">         have  found  their way  into  the Gospels  in  various forms,—sometimes,     a8                    </w:t>
        <w:br/>
        <w:t xml:space="preserve">         especially in Matthew,    in long and   strictly coherent  discourses,—some-                       </w:t>
        <w:br/>
        <w:t xml:space="preserve">         times  scattered  up and  down,  as  is the  matter  of several  of Matthew's                      </w:t>
        <w:br/>
        <w:t xml:space="preserve">         discourses  in Luke  ?   Yet such  various  reports of our Lord’s  sayings  are                    </w:t>
        <w:br/>
        <w:t xml:space="preserve">         most  unreasonably   by some  of the modern  German    critics (e.g. De Wette)                     </w:t>
        <w:br/>
        <w:t xml:space="preserve">         treated  as  discrepancies, and   used  to  prove   St. Matthew’s   discourses                     </w:t>
        <w:br/>
        <w:t xml:space="preserve">         to have  been  mere   combinations   of shorter   sayings uttered  at different                    </w:t>
        <w:br/>
        <w:t xml:space="preserve">         times.   A  striking instance  of the repetition  by our  Lord  of similar dis-                    </w:t>
        <w:br/>
        <w:t xml:space="preserve">         courses, varied  according   to the  time  and the  hearers, may   be found  in                    </w:t>
        <w:br/>
        <w:t xml:space="preserve">         the denunciations   on  the  Scribes  and   Pharisees  as  uttered during   the                    </w:t>
        <w:br/>
        <w:t xml:space="preserve">        journey   to Jerusalem,   Luke   xi. 37  ff.,     the subsequent    solemn  and                     </w:t>
        <w:br/>
        <w:t xml:space="preserve">         public reiteration  of them  in  Jerusalem   at the  final close of the Lord’s                     </w:t>
        <w:br/>
        <w:t xml:space="preserve">         ministry  in Matt.  xxiii.  Compare    also the parable  of the pounds,  Luke                      </w:t>
        <w:br/>
        <w:t xml:space="preserve">         xix. 11  ff, with  that  of the  talents, Matt. xxv.   14 ff, and  in fact  the                    </w:t>
        <w:br/>
        <w:t xml:space="preserve">         whole   of the  discourses  during   the  last journey   in Luke,   with  their                    </w:t>
        <w:br/>
        <w:t xml:space="preserve">         parallels, where  such  exist, in Matthew.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 V.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THE   FRAGMENTARY      NATURE    OF  THE   THREE   GOSPELS.                               </w:t>
        <w:br/>
        <w:t xml:space="preserve">                                                                                                            </w:t>
        <w:br/>
        <w:t xml:space="preserve">            1. On  any  hypothesis  which   attributes to  our Evangelists   the design                     </w:t>
        <w:br/>
        <w:t xml:space="preserve">         of producing   a complete  history of the  life and actions of  our Lord,  and                     </w:t>
        <w:br/>
        <w:t xml:space="preserve">         gives two  of them  the  advantage  of consulting  other  records of  the same                     </w:t>
        <w:br/>
        <w:t xml:space="preserve">         kind  with their own,—the     omissions in their  histories are perfectly inex-                    </w:t>
        <w:br/>
        <w:t xml:space="preserve">         plicable.  For  example,—St.     Matthew,   as  an  Apostle,  was  himself  an                     </w:t>
        <w:br/>
        <w:t xml:space="preserve">         eye-witness  of  the Ascension,  an  event  holding  a  most  important  place                     </w:t>
        <w:br/>
        <w:t xml:space="preserve">         in the divine  process  of the redemption   of man.   Yet  he omits  all record                    </w:t>
        <w:br/>
        <w:t xml:space="preserve">         or mention  of it. And   though   this is the most  striking  example,  others                     </w:t>
        <w:br/>
        <w:t xml:space="preserve">        are  continually  occurring  throughout   the Three   Gospels.  Why   has there                     </w:t>
        <w:br/>
        <w:t xml:space="preserve">        been   no mention   in them   of the  most   notable  miracle  wrought   by our                     </w:t>
        <w:br/>
        <w:t xml:space="preserve">        Lord,—which      indeed,  humanly   speaking,  was  the  final exciting cause of                    </w:t>
        <w:br/>
        <w:t xml:space="preserve">         that active  enmity  of the Jewish   rulers which  issued in His  crucifixion ?                    </w:t>
        <w:br/>
        <w:t xml:space="preserve">         Can  it be believed,  that  an Apostle,   writing in the fulness  of his know-                     </w:t>
        <w:br/>
        <w:t xml:space="preserve">                 19]                           b2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