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§  vu.]                  FORMAL       HARMONIES.               [INTRODUCTION.                       </w:t>
        <w:br/>
        <w:t xml:space="preserve">                                                                                                            </w:t>
        <w:br/>
        <w:t xml:space="preserve">           21.  If  I  understand   plenary   inspiration rightly,  I  hold   it to  the                    </w:t>
        <w:br/>
        <w:t xml:space="preserve">        utmost,   as  entirely  consistent  with   the   opinions   expressed   in  this                    </w:t>
        <w:br/>
        <w:t xml:space="preserve">        section.   The   inspiration  of the  sacred writers  I  believe  to have  con-                     </w:t>
        <w:br/>
        <w:t xml:space="preserve">        sisted  in the fulness of the  influence of the Holy   Spirit specially raising                     </w:t>
        <w:br/>
        <w:t xml:space="preserve">         them   to, and  enabling  them   for, their work,—in     a manner   which  dis-                    </w:t>
        <w:br/>
        <w:t xml:space="preserve">         tinguishes  them from    all other  writers  in  the world,  and   their  work                     </w:t>
        <w:br/>
        <w:t xml:space="preserve">        Jrom   all other works,   The  men  were  full of the Holy  Ghost—the     books                     </w:t>
        <w:br/>
        <w:t xml:space="preserve">         are the pouring   out of that  fulness through   the men,—the    conservation                      </w:t>
        <w:br/>
        <w:t xml:space="preserve">         of the treasure  in earthen  vessels.   The  treasure  is ours, in all its rich-                   </w:t>
        <w:br/>
        <w:t xml:space="preserve">         ness:  but  it is ours  as only  it can  be  ours,—in   the  imperfections   of                    </w:t>
        <w:br/>
        <w:t xml:space="preserve">         human    speech,  in  the limitations   of human    thought,   in the  variety                     </w:t>
        <w:br/>
        <w:t xml:space="preserve">         incident first to individual character,  and  then  to manifold  transcription                     </w:t>
        <w:br/>
        <w:t xml:space="preserve">         and  the lapse of ages.                                                                            </w:t>
        <w:br/>
        <w:t xml:space="preserve">           22.  Two   things,  in concluding  this section, I would  earnestly  impress                     </w:t>
        <w:br/>
        <w:t xml:space="preserve">         on my  readers.    First, that we  must  take  our  views  of  inspiration not,                    </w:t>
        <w:br/>
        <w:t xml:space="preserve">         as is too  often  done, from  &amp; priori  considerations,  but  ENTIRELY   FROM                      </w:t>
        <w:br/>
        <w:t xml:space="preserve">         THE   EVIDENCE    FURNISHED     BY   THE   SCRIPTURES     THEMSELVES:      and                     </w:t>
        <w:br/>
        <w:t xml:space="preserve">         secondly,  that the MEN   were  INSPIRED;    the BOOKS   are the  RESULTS   OF                     </w:t>
        <w:br/>
        <w:t xml:space="preserve">         THAT  INSPIRATION.     This  latter  consideration, if all that  it implies be                     </w:t>
        <w:br/>
        <w:t xml:space="preserve">         duly weighed,   will furnish us  with  the key  to the whole  question.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VII.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IMPRACTICABILITY     OF  CONSTRUCTING     A  FORMAL    HARMONY     OF  THE                       </w:t>
        <w:br/>
        <w:t xml:space="preserve">                     .                 THREE    GOSPELS.              °                                     </w:t>
        <w:br/>
        <w:t xml:space="preserve">                                                                                                            </w:t>
        <w:br/>
        <w:t xml:space="preserve">            1. From   very  early  times  attempts  have  been  made   to  combine  the                     </w:t>
        <w:br/>
        <w:t xml:space="preserve">         narratives  of our Three   Gospels   into one continuous   history.  As  might                     </w:t>
        <w:br/>
        <w:t xml:space="preserve">         have  been expected,   however,  from  the  characteristics of  those Gospels                      </w:t>
        <w:br/>
        <w:t xml:space="preserve">         above  detailed, such  Harmonies    could not  be constructed   without  doing                     </w:t>
        <w:br/>
        <w:t xml:space="preserve">         considerable   violence  to the arrangement    of  some  one  or  more  of the                     </w:t>
        <w:br/>
        <w:t xml:space="preserve">         three,  and  an  arbitrary  adoption  of  the  order  of some   one, to which                      </w:t>
        <w:br/>
        <w:t xml:space="preserve">         then  the others  have   been  fitted and   conformed.    An   examination   of                    </w:t>
        <w:br/>
        <w:t xml:space="preserve">         any  of the current  Harmonies   will  satisfy the student that  this has been                     </w:t>
        <w:br/>
        <w:t xml:space="preserve">         the case.                                                                                          </w:t>
        <w:br/>
        <w:t xml:space="preserve">           2.  Now,  on  the supposition  that the  Three  Gospels  had  arisen one out                     </w:t>
        <w:br/>
        <w:t xml:space="preserve">         of the other, with  a  design  such  as any  of those  which  have   been pre-                     </w:t>
        <w:br/>
        <w:t xml:space="preserve">         viously  discussed (with  the exception   of ¢) in § ii.  3, such  a Harmony                       </w:t>
        <w:br/>
        <w:t xml:space="preserve">         not  only  ought   to be  possible, but  should   arise naturally  out  of the                     </w:t>
        <w:br/>
        <w:t xml:space="preserve">         several  narratives,  without  any   forcing  or  alteration of  arrangement.                      </w:t>
        <w:br/>
        <w:t xml:space="preserve">         Nay,   on  the  supplementary   theory   of  Greswell   and  others,  the  last                    </w:t>
        <w:br/>
        <w:t xml:space="preserve">         written  Gospel  should  itself be such  a  History  as  the Harmonizers    are                    </w:t>
        <w:br/>
        <w:t xml:space="preserve">         in search of.   Now   not  only  is this not  the  case, but their Harmonies                       </w:t>
        <w:br/>
        <w:t xml:space="preserve">                 27)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