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§ 1v.]               AT   WHAT      TIME     WRITTEN.         [inrropucrion.                       </w:t>
        <w:br/>
        <w:t xml:space="preserve">                                                                                                            </w:t>
        <w:br/>
        <w:t xml:space="preserve">         the  commencement     of  His  genealogy  from  Abraham     and  David;   hence                    </w:t>
        <w:br/>
        <w:t xml:space="preserve">         the  frequent   notice of  the  necessity  of this or  that  event  happening,                     </w:t>
        <w:br/>
        <w:t xml:space="preserve">         because  it was so foretold  by the Prophets;  hence  the  constant  opposition                    </w:t>
        <w:br/>
        <w:t xml:space="preserve">         of our  Lord’s  spiritually ethical teaching  to the  carnal formalistic ethics                    </w:t>
        <w:br/>
        <w:t xml:space="preserve">         of the  Scribes  and Pharisees.                                                                    </w:t>
        <w:br/>
        <w:t xml:space="preserve">            2.  But  we  must   not  think  of  the  Gospel   as a  systematic   treatise                   </w:t>
        <w:br/>
        <w:t xml:space="preserve">         drawn    up with  this end  continually  in view.   It  only exercised   a very                    </w:t>
        <w:br/>
        <w:t xml:space="preserve">         general   and   indirect  influence  over   the  composition,   not  excluding                     </w:t>
        <w:br/>
        <w:t xml:space="preserve">          narratives, sayings,  and  remarks  which    had  no  such  tendency,  or even                    </w:t>
        <w:br/>
        <w:t xml:space="preserve">         partook   of an opposite  one.                                                                     </w:t>
        <w:br/>
        <w:t xml:space="preserve">            3.  Grecian  readers  were   certainly also  in the  view   of the “Apostle  ;                  </w:t>
        <w:br/>
        <w:t xml:space="preserve">          and in consequence,   he  adds  interpretations  and  explanations,   such, for                   </w:t>
        <w:br/>
        <w:t xml:space="preserve">          example,  as ch,  i, 23; xxvii. 8, 33,  46, for their information.                                </w:t>
        <w:br/>
        <w:t xml:space="preserve">            4,  In  furtherance  of  the  design  above   mentioned,   we  may   discern                    </w:t>
        <w:br/>
        <w:t xml:space="preserve">          (with  the caution  given  in 2) @  more  frequent  and  consistent  reference                    </w:t>
        <w:br/>
        <w:t xml:space="preserve">          to the Lord  as a  King,  and  to his Messianic  kingdom,   than  in the other                    </w:t>
        <w:br/>
        <w:t xml:space="preserve">          Gospels.    Designing   these  remarks   not  as a complete   Introduction   to                   </w:t>
        <w:br/>
        <w:t xml:space="preserve">          the  Gospels,  but  merely   as  subsidiary  to the  following   Commentary,                      </w:t>
        <w:br/>
        <w:t xml:space="preserve">          I purposely  do  not give  instances of these characteristics, but  leave them                    </w:t>
        <w:br/>
        <w:t xml:space="preserve">          to be gathered   by the  student as he  proceeds.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SECTION      Iv.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AT  WHAT    TIME   IT WAS   WRITTEN.                                          </w:t>
        <w:br/>
        <w:t xml:space="preserve">                                                                                                            </w:t>
        <w:br/>
        <w:t xml:space="preserve">             The  testimony   of  the   early Church     is unanimous,   that  Matthew                      </w:t>
        <w:br/>
        <w:t xml:space="preserve">          wrote  first among   the  Evangelists.    Clement   of  Alexandria,  who   dis-                   </w:t>
        <w:br/>
        <w:t xml:space="preserve">          sented  from   the  present   order  of  our  Gospels,   yet  placed  those  of                   </w:t>
        <w:br/>
        <w:t xml:space="preserve">          Matthew    and  Luke   first.  Origen’s  testimony   is, that tradition  in his                   </w:t>
        <w:br/>
        <w:t xml:space="preserve">          time  reported  Matthew   to have  written  first.  And  Irenus    relates that                   </w:t>
        <w:br/>
        <w:t xml:space="preserve">          Matthew    wrote  his  Gospel  while  Peter   and  Paul  were   preaching  and                    </w:t>
        <w:br/>
        <w:t xml:space="preserve">          founding   the Church   in  Rome.    Without    adopting   this statement,  we                    </w:t>
        <w:br/>
        <w:t xml:space="preserve">          may  remark   that  it represents  a  date, to which   internal  chronological                    </w:t>
        <w:br/>
        <w:t xml:space="preserve">          notices  are not  repugnant.    It seems,  from  ch. xxvii. 8, and  xxviii. 15,                   </w:t>
        <w:br/>
        <w:t xml:space="preserve">          that some  considerable  time  had elapsed  since the events narrated  ; while,                   </w:t>
        <w:br/>
        <w:t xml:space="preserve">          from  the omission  of all mention  of the destruction of Jerusalem,   it would                   </w:t>
        <w:br/>
        <w:t xml:space="preserve">          appear  that the Gospel  was  published  before thatevent.    All these  marks                    </w:t>
        <w:br/>
        <w:t xml:space="preserve">          of time  are, however,   exceedingly   vague,  especially when   other  notices                   </w:t>
        <w:br/>
        <w:t xml:space="preserve">          are  taken  into account,   which   place  the Gospel   eight  years  after the                   </w:t>
        <w:br/>
        <w:t xml:space="preserve">          Ascension   (so  Theophylact    and   Euthymius);     fifteen years   after the                   </w:t>
        <w:br/>
        <w:t xml:space="preserve">          Ascension   (Nicephorus)   :—at  the time of the stoning  of Stephen  (Cosmas                     </w:t>
        <w:br/>
        <w:t xml:space="preserve">          Indicopleustes).                                                                                  </w:t>
        <w:br/>
        <w:t xml:space="preserve">                  31]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