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cH.  mt. § 0.)                  ITS   ORIGIN.                 [rnTRopucTION.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CHAPTER          III.                                                 </w:t>
        <w:br/>
        <w:t xml:space="preserve">                           OF  THE  GOSPEL    ACCORDING      TO  MARK.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I.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ITS AUTHORSHIP.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1. As  in  the case of the two  other  Gospels,  we are  dependent  entirely                    </w:t>
        <w:br/>
        <w:t xml:space="preserve">         on  traditional sources  for the name   of the author.   It  has been   univer-                    </w:t>
        <w:br/>
        <w:t xml:space="preserve">         sally believed  to be  Marcus:   and  further, that  he  was  the same   person                    </w:t>
        <w:br/>
        <w:t xml:space="preserve">         who,   in Acts xii. 12, 25;  xv. 37, is spoken  of as John  whose surname   was                    </w:t>
        <w:br/>
        <w:t xml:space="preserve">         Mark:    in xiii. 5, 13, as John:  in xv.  39, as Mark:    also in Col. iv. 10:                    </w:t>
        <w:br/>
        <w:t xml:space="preserve">         2  Tim.  iv. 11: Philem.   24.   The  few particulars  gleaned  respecting  him                    </w:t>
        <w:br/>
        <w:t xml:space="preserve">         from   Scripture are, that his mother’s  name  was  Mary  (Acts  xii. 12);  and                    </w:t>
        <w:br/>
        <w:t xml:space="preserve">         that  she was  sister to the Apostle Barnabas   (Col. iv. 10);  that she  dwelt                    </w:t>
        <w:br/>
        <w:t xml:space="preserve">         in Jerusalem   (Acts,  ibid.) ; that he was  converted  to Christianity  by the                    </w:t>
        <w:br/>
        <w:t xml:space="preserve">         Apostle   Peter  (1  Pet. v. 13);  that  he  became   the  minister  and  com-                     </w:t>
        <w:br/>
        <w:t xml:space="preserve">         panion  of Paul  and  Barnabas,   in their first missionary journey  (Acts  xii.                   </w:t>
        <w:br/>
        <w:t xml:space="preserve">         25);   and was  the cause  of the variance  and  separation  of these Apostles                     </w:t>
        <w:br/>
        <w:t xml:space="preserve">         on   their second   (Acts  xv.  37—40),—Barnabas        wishing   to take  him                     </w:t>
        <w:br/>
        <w:t xml:space="preserve">         again  with  them,  but Paul  refusing,  because  he had  departed  from  them                     </w:t>
        <w:br/>
        <w:t xml:space="preserve">         before  the  completion   of the former   journey  (Acts  xiii. 13).   He  then                    </w:t>
        <w:br/>
        <w:t xml:space="preserve">         became   the  companion   of Barnabas    in his journey  to Cyprus   (Acts  xv.                    </w:t>
        <w:br/>
        <w:t xml:space="preserve">         39).  We  find him  however    again with  Paul  (Col. iv. 10), and an allusion                    </w:t>
        <w:br/>
        <w:t xml:space="preserve">         apparently   made  in  the words  there  to some   previous  stain on  his cha-                    </w:t>
        <w:br/>
        <w:t xml:space="preserve">         racter, which   was  then  removed;    see  also Philem.   24:  2 Tim.   iv. 11.                   </w:t>
        <w:br/>
        <w:t xml:space="preserve">         Lastly,  we  find him  with Peter  (1 Pet.  v. 13). From   Scripture  we  know                     </w:t>
        <w:br/>
        <w:t xml:space="preserve">         no  more   concerning   him.   But   an unanimous    tradition  of the  ancient                    </w:t>
        <w:br/>
        <w:t xml:space="preserve">         Christian  writers  represents  him  as the  “interpreter”  of Peter :  i.e. the                   </w:t>
        <w:br/>
        <w:t xml:space="preserve">         secretary  or  amanuensis,   whose  office it was  to commit    to writing  the                    </w:t>
        <w:br/>
        <w:t xml:space="preserve">         orally-delivered  instructions and  narrations  of the Apostle.   See  authori-                    </w:t>
        <w:br/>
        <w:t xml:space="preserve">         ties quoted  in § ii., below.                                                                      </w:t>
        <w:br/>
        <w:t xml:space="preserve">            2. Tradition  brings  him  with  Peter  to Rome   (but apparently   only  on                    </w:t>
        <w:br/>
        <w:t xml:space="preserve">         the  authority  of 1 Pet.  v. 13);  and  thence  to Alexandria.     He   is said                   </w:t>
        <w:br/>
        <w:t xml:space="preserve">         to  have  become    first bishop of  the Church    in that  city, and  to have                     </w:t>
        <w:br/>
        <w:t xml:space="preserve">         suffered  martyrdom   there.   All  this, however,  is exceedingly  uncertain.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II.                                                   </w:t>
        <w:br/>
        <w:t xml:space="preserve">                                           IT8 ORIGIN.                                                      </w:t>
        <w:br/>
        <w:t xml:space="preserve">            1. It was   universally   believed  in  the ancient  Church,   that  Mark’s                     </w:t>
        <w:br/>
        <w:t xml:space="preserve">         Gospel   was  written  under  the influence, and  almost  by  the dictation,  of                   </w:t>
        <w:br/>
        <w:t xml:space="preserve">                                                                                                            </w:t>
        <w:br/>
        <w:t xml:space="preserve">         Peter.                                                                                             </w:t>
        <w:br/>
        <w:t xml:space="preserve">            Vor.  L—33]                                                   e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