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INTRODUCTION.    ]          MARE’S      GOSPEL.                        (cx.  u1.           </w:t>
        <w:br/>
        <w:t xml:space="preserve">                                                                                                            </w:t>
        <w:br/>
        <w:t xml:space="preserve">                 and   possibly from  preservation   of many   of  his  narrations  entire, may             </w:t>
        <w:br/>
        <w:t xml:space="preserve">                 have  been   able, after his  death,  or at all events  when    separated  from            </w:t>
        <w:br/>
        <w:t xml:space="preserve">                 him,   to preserve   in  his  Gospel   those  vivid  and   original touches   of           </w:t>
        <w:br/>
        <w:t xml:space="preserve">                 description  and  filling-out of the incidents, which   we  now  discover  in it.          </w:t>
        <w:br/>
        <w:t xml:space="preserve">                  Further  than  this I do  not  think we   are authorized   in  assuming;   and            </w:t>
        <w:br/>
        <w:t xml:space="preserve">                 even  this is conjectural  only.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II.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FOR   WHAT   READERS     AND  WITH   WHAT    OBJECT    IT WAS   WRITTEN.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1.  Internal evidence  is very  full as to  the class of  readers for whom              </w:t>
        <w:br/>
        <w:t xml:space="preserve">                 Mark    compiled   his Gospel:   the  Gentile Christians  are  clearly  pointed            </w:t>
        <w:br/>
        <w:t xml:space="preserve">                 out  by the  following  indications :—                                                     </w:t>
        <w:br/>
        <w:t xml:space="preserve">                    (a)  The  omission  of all genealogical  notices of our Lord’s  descent.                </w:t>
        <w:br/>
        <w:t xml:space="preserve">                    (5)  The  general  abstinence   from  Old  Testament    citations, except  in           </w:t>
        <w:br/>
        <w:t xml:space="preserve">                 reporting   discourses of  our Lord   (ch. i. 2, 3 is the only  exception,  xv.            </w:t>
        <w:br/>
        <w:t xml:space="preserve">                 28  being  rejected as spurious).                                                          </w:t>
        <w:br/>
        <w:t xml:space="preserve">                    (c)  The  appending    of  interpretations   to the  Hebrew     or  Aramaic             </w:t>
        <w:br/>
        <w:t xml:space="preserve">                 terms  occurring   in the narrative  (ch. v. 41;  vii. 11, 34).                            </w:t>
        <w:br/>
        <w:t xml:space="preserve">                    (d)  The   explanations  of Jewish   customs,  as for example   ch. vii. 3, 4.          </w:t>
        <w:br/>
        <w:t xml:space="preserve">                    (e) Remarkable    insertions  or omissions   in particular  places:  as, e. g.          </w:t>
        <w:br/>
        <w:t xml:space="preserve">                 “ for all the nations,” ch. xi. 17, which  words  are omitted  in Matthew   and            </w:t>
        <w:br/>
        <w:t xml:space="preserve">                 Luke:—no      mention    of the  Jewish   law:—omission     of  the  limitations           </w:t>
        <w:br/>
        <w:t xml:space="preserve">                 of  the  mission  of the  Apostles   in Matt.   x.  (common,  however,   also to           </w:t>
        <w:br/>
        <w:t xml:space="preserve">                 Luke).                                                                                     </w:t>
        <w:br/>
        <w:t xml:space="preserve">                    2. It is true  that  too much    stress must   not be  laid  on  single par-            </w:t>
        <w:br/>
        <w:t xml:space="preserve">                 ticulars  of  this  sort, as indicating  design,  where   the   sources  of the            </w:t>
        <w:br/>
        <w:t xml:space="preserve">                 Gospels   were   so scattered and  fragmentary.     But  the concurrence  of all           </w:t>
        <w:br/>
        <w:t xml:space="preserve">                 these  affords a  very  strong  presumption   that  that class of readers   was            </w:t>
        <w:br/>
        <w:t xml:space="preserve">                 in the  view  of the  Evangelist,  in whose   favour  all these  circumstances             </w:t>
        <w:br/>
        <w:t xml:space="preserve">                 unite.   See  Introduction   to Matthew,  §  iii. 2.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SECTION       Iv.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AT  WHAT    TIME  IT  WAS   WRITTEN.                                  </w:t>
        <w:br/>
        <w:t xml:space="preserve">                                                                                                            </w:t>
        <w:br/>
        <w:t xml:space="preserve">                    1. The   most  direct  testimony   on  this head  is that  of Irenseus  (see            </w:t>
        <w:br/>
        <w:t xml:space="preserve">                 above,  § ii. 1, 6), that it was after the deaths  of Peter  and  Paul.    This            </w:t>
        <w:br/>
        <w:t xml:space="preserve">                 would   place its date, at all events, after the year 63 (see Introd.  to Acts,            </w:t>
        <w:br/>
        <w:t xml:space="preserve">                 chronological   table).   But  here,  as in  the  case of  the other  Gospels,             </w:t>
        <w:br/>
        <w:t xml:space="preserve">                 very  little can  be  with  any  certainty   inferred.   We   have  conflicting            </w:t>
        <w:br/>
        <w:t xml:space="preserve">                         36]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