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    MARE’S      GOSPEL.                        (cH. m1.            </w:t>
        <w:br/>
        <w:t xml:space="preserve">                                                                                                            </w:t>
        <w:br/>
        <w:t xml:space="preserve">                 should  have  perished   so early that  no  ancient writer  should  have  made             </w:t>
        <w:br/>
        <w:t xml:space="preserve">                 mention   of the fact.  For  Latin  was  the language   of a considerable   and            </w:t>
        <w:br/>
        <w:t xml:space="preserve">                 increasing  body  of Christians,—unlike    Hebrew,   which   was  little known,            </w:t>
        <w:br/>
        <w:t xml:space="preserve">                 and   belonged  (but  even  this is doubtful)  to a  section  of converts   few            </w:t>
        <w:br/>
        <w:t xml:space="preserve">                 in  number   :—yet   ancient  testimony  is unanimous    to Matthew's   having             </w:t>
        <w:br/>
        <w:t xml:space="preserve">                 written  in Hebrew,—while       we  have  not  one  witness  to  Mark   having             </w:t>
        <w:br/>
        <w:t xml:space="preserve">                 written  in Latin.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VI.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GENUINENESS     OF  THE  GOSPEL.                                    </w:t>
        <w:br/>
        <w:t xml:space="preserve">                                                                                                            </w:t>
        <w:br/>
        <w:t xml:space="preserve">                    1. This  has  never  been called  in question,  till very recently, by some             </w:t>
        <w:br/>
        <w:t xml:space="preserve">                 of the  German   critics on, as it appears to me, wholly  insufficient grounds.            </w:t>
        <w:br/>
        <w:t xml:space="preserve">                 They   allege that the  testimony  of Papias  (see  above,  § ii.1, a) does not            </w:t>
        <w:br/>
        <w:t xml:space="preserve">                 apply  to the  contents  of our  present  Gospel,  but  that  some  later hand             </w:t>
        <w:br/>
        <w:t xml:space="preserve">                 has  worked    up  and   embellished   the  original simple   and  unarranged              </w:t>
        <w:br/>
        <w:t xml:space="preserve">                 notices  of Mark,  which   have  perished.                                                 </w:t>
        <w:br/>
        <w:t xml:space="preserve">                    2. But   neither  do  the words   of Papias  imply  any  such   inference as            </w:t>
        <w:br/>
        <w:t xml:space="preserve">                 that Mark’s   notices must  have  been  simple and  unarranged   ; nor, if they            </w:t>
        <w:br/>
        <w:t xml:space="preserve">                 did, are they  of any  considerable  authority  in the  matter.   It is enough             </w:t>
        <w:br/>
        <w:t xml:space="preserve">                 that  from  the very  earliest time  the Gospel   has  been known    as that of            </w:t>
        <w:br/>
        <w:t xml:space="preserve">                 Mark   ; confirmed  as this evidence  is by the  circumstance,   that this name            </w:t>
        <w:br/>
        <w:t xml:space="preserve">                 belongs  to no great  and  distinguished founder   of the Church,  to whom    it           </w:t>
        <w:br/>
        <w:t xml:space="preserve">                 might  naturally  be  ascribed, but  to one, the ascription to      can hardly             </w:t>
        <w:br/>
        <w:t xml:space="preserve">                 be accounted  for, except by its foundation  in matter of fact.                            </w:t>
        <w:br/>
        <w:t xml:space="preserve">                    3. On  the  genuineness  of  the remarkable   fragment   at  the end  of the            </w:t>
        <w:br/>
        <w:t xml:space="preserve">                 Gospel,  see notes  there.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VIII.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ITS  STYLE  AND   CHARACTER.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1. Of  the  three first Gospels,  that  of Mark   is the most  distinct and             </w:t>
        <w:br/>
        <w:t xml:space="preserve">                 peculiar  in style. By  far the greater part  of those graphic  touches  which             </w:t>
        <w:br/>
        <w:t xml:space="preserve">                 describe  the look and gesture  of our  Lord, the arrangement    or appearance             </w:t>
        <w:br/>
        <w:t xml:space="preserve">                 of  those around   Him,   the  feelings  with   which   He  contemplated    the            </w:t>
        <w:br/>
        <w:t xml:space="preserve">                 persons  whom   He  addressed,  are  contained   in this Gospel.    While   the            </w:t>
        <w:br/>
        <w:t xml:space="preserve">                 matters related  are fewer  than  in either Matthew     or Luke,  Mark,   in by            </w:t>
        <w:br/>
        <w:t xml:space="preserve">                 far the greater  number   of  common    narrations,  is the most  copious, and.            </w:t>
        <w:br/>
        <w:t xml:space="preserve">                 rich in lively and interesting detail.                                                     </w:t>
        <w:br/>
        <w:t xml:space="preserve">                   2.  In  one  part only  does Mark   appear   as an  abridger   of previously             </w:t>
        <w:br/>
        <w:t xml:space="preserve">                 well-known    facts ; viz.,  ch. i.       where,—his    object  being to detail            </w:t>
        <w:br/>
        <w:t xml:space="preserve">                 the  official life of our Lord,—he     hastens  through   the  previous  great             </w:t>
        <w:br/>
        <w:t xml:space="preserve">                         38]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