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§ vin.]          ITS    STYLE     AND    CHARACTER.          [intropuction.                     </w:t>
        <w:br/>
        <w:t xml:space="preserve">                                                                                                            </w:t>
        <w:br/>
        <w:t xml:space="preserve">           events,—the     ministry  of John,  the  baptism   and  temptation   of Christ.                  </w:t>
        <w:br/>
        <w:t xml:space="preserve">           Rut  even   in the  abrupt   transitions of  this section, there  is wonderful                   </w:t>
        <w:br/>
        <w:t xml:space="preserve">           gtaphic   power,  presenting   us  with  a  series  of life-like pictures,  cal-                 </w:t>
        <w:br/>
        <w:t xml:space="preserve">           culated   to impress  the  reader   strongly with  the  reality and  dignity of                  </w:t>
        <w:br/>
        <w:t xml:space="preserve">           the  events  related.                                                                            </w:t>
        <w:br/>
        <w:t xml:space="preserve">              8. Throughout     the Gospel,  even  where   the  narratives  are  the most                   </w:t>
        <w:br/>
        <w:t xml:space="preserve">           copious,  the  same  isolated character  of each, the  same  abrupt  transition                  </w:t>
        <w:br/>
        <w:t xml:space="preserve">           from  one  to another,  is observable.   There  is no attempt   to bind on  one                  </w:t>
        <w:br/>
        <w:t xml:space="preserve">           section  to another, or  to give any sequences   of events.   But occasionally                   </w:t>
        <w:br/>
        <w:t xml:space="preserve">           the  very precision  of the  separate narratives  of itself furnishes accurate                   </w:t>
        <w:br/>
        <w:t xml:space="preserve">           and  valuable  chronological  data  :—e. g. the  important  one  in ch. iv. 35,                  </w:t>
        <w:br/>
        <w:t xml:space="preserve">           by  which   it becomes  evident   that the  whole  former   part of Matthew’s                    </w:t>
        <w:br/>
        <w:t xml:space="preserve">           Gospel   is out of chronological  order.                                                         </w:t>
        <w:br/>
        <w:t xml:space="preserve">              4. Mark   relates  but  few “discourses.   His  object  being  to set  forth                  </w:t>
        <w:br/>
        <w:t xml:space="preserve">           Jesus   as the  Son  or   Gop   (see ch. i. 1), he principally  dwells  on  the                  </w:t>
        <w:br/>
        <w:t xml:space="preserve">           events of His  official life. But  the same   characteristics mark   his report                  </w:t>
        <w:br/>
        <w:t xml:space="preserve">           of our  Lord’s  discourses, where  he  relates them, as we  have   observed  in                  </w:t>
        <w:br/>
        <w:t xml:space="preserve">           the  rest of  his narrative.   While   the  sequence   and  connexion   of  the                  </w:t>
        <w:br/>
        <w:t xml:space="preserve">           longer  discourses  was  that which   the  Holy  Spirit peculiarly  brought  to                  </w:t>
        <w:br/>
        <w:t xml:space="preserve">           the mind   of Matthew,   the Apostle   from  whom   Mark’s   record  is derived                  </w:t>
        <w:br/>
        <w:t xml:space="preserve">           seems   to  have  been   deeply  penetrated   and   impressed   by  the solemn                   </w:t>
        <w:br/>
        <w:t xml:space="preserve">           iterations of cadence   and  expression, and   to have  borne   away  the  very                  </w:t>
        <w:br/>
        <w:t xml:space="preserve">           words   themselves  and  tone  of  the  Lord’s  sayings.    See  especially, as                  </w:t>
        <w:br/>
        <w:t xml:space="preserve">           illustrating this, the wonderfully   sublime  reply, ch. ix. 39—50.                              </w:t>
        <w:br/>
        <w:t xml:space="preserve">              5. According   to the  view  adopted   and  vindicated  in the notes  on ch.                  </w:t>
        <w:br/>
        <w:t xml:space="preserve">           xvi. 9—20,    the  Gospel  terminates   abruptly  with  the  words   “for  they                  </w:t>
        <w:br/>
        <w:t xml:space="preserve">           were  afraid,” ver. 8.   That   this was  not  intentionally  done, but  was  a                  </w:t>
        <w:br/>
        <w:t xml:space="preserve">           defect,—is   apparent, by  the addition, in  apostolic times, of the authentic                   </w:t>
        <w:br/>
        <w:t xml:space="preserve">           and  most  important  fragment   which   now  concludes  the  narrative.                         </w:t>
        <w:br/>
        <w:t xml:space="preserve">              6. I  regard  the  existence  of  the Gospel   of Mark   asa  gracious  and                   </w:t>
        <w:br/>
        <w:t xml:space="preserve">           valuable  proof of  the accommodation    by  the divine  Spirit of the records                   </w:t>
        <w:br/>
        <w:t xml:space="preserve">           of the life of our  Lord  to the  future  necessities of the Church.     While                   </w:t>
        <w:br/>
        <w:t xml:space="preserve">           it contains  little matter  of  fact which   is not related  in  Matthew   and                   </w:t>
        <w:br/>
        <w:t xml:space="preserve">           Luke,  and   thus, generally  speaking,  forms  only  a confirmation   of their                  </w:t>
        <w:br/>
        <w:t xml:space="preserve">           more   complete   histories, it is so far from  being  a  barren  duplicate  of                  </w:t>
        <w:br/>
        <w:t xml:space="preserve">           that part  of them  which   is contained  in it, that it comes home   to every                   </w:t>
        <w:br/>
        <w:t xml:space="preserve">           reader  with  all  the freshness  of  an individual   mind,  full of the  Holy                   </w:t>
        <w:br/>
        <w:t xml:space="preserve">           Ghost,  intently  fixed  on  the great  object  of  the Christian’s  love  and                   </w:t>
        <w:br/>
        <w:t xml:space="preserve">           worship,  reverently  and  affectionately following  and  recording  His  posi-                  </w:t>
        <w:br/>
        <w:t xml:space="preserve">           tions, and  looks, and gestures,  and  giving  us the  very echo  of the tones                   </w:t>
        <w:br/>
        <w:t xml:space="preserve">           with  which   He   spoke.    And   thus  the  believing  .student  feels, while                  </w:t>
        <w:br/>
        <w:t xml:space="preserve">           treating  of and  studying   this Gospel,  as indeed  he  does  of each  in  its                 </w:t>
        <w:br/>
        <w:t xml:space="preserve">           turn, that,—without     venturing   to compare   with  one   another  in value                   </w:t>
        <w:br/>
        <w:t xml:space="preserve">           those  rich  and  abiding   gifts of  the  Holy  Spirit  to the Church,—the                      </w:t>
        <w:br/>
        <w:t xml:space="preserve">                   39)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