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m.]          FOR    WHAT      READERS       WRITTEN.        [intropucrion.                       </w:t>
        <w:br/>
        <w:t xml:space="preserve">                                                                                                            </w:t>
        <w:br/>
        <w:t xml:space="preserve">         the leading  facts of  the evangelic  history.   And   this circumstance   may                     </w:t>
        <w:br/>
        <w:t xml:space="preserve">         have  acted  imperceptibly    on  the  mind   of Luke,   and  even  shaped   or                    </w:t>
        <w:br/>
        <w:t xml:space="preserve">         filled out  some  of  his narratives,  in aid  of  direct historic  sources  of                    </w:t>
        <w:br/>
        <w:t xml:space="preserve">        testimony.                                                                                          </w:t>
        <w:br/>
        <w:t xml:space="preserve">            8. There   is very little trace of Paul’s peculiar  diction, or prominence                      </w:t>
        <w:br/>
        <w:t xml:space="preserve">         given to the points which   it became his  especial work  to  inculcate in  the                    </w:t>
        <w:br/>
        <w:t xml:space="preserve">         Gospel  of  Luke.    Doubtless  we   may  trace  a  similar cast of  mind  and                     </w:t>
        <w:br/>
        <w:t xml:space="preserve">        feeling  in  some   instances;   as  e.g.  Luke’s   carefulness  to record   the                    </w:t>
        <w:br/>
        <w:t xml:space="preserve">         sayings  of  our  Lord  which   were  assertive  of His  unrestricted  love for                    </w:t>
        <w:br/>
        <w:t xml:space="preserve">         Jew  and   Gentile  alike:  Luke  iv. 25  ff.; ix. 52 ff.; x. 30 ff.; xvii. 16,                    </w:t>
        <w:br/>
        <w:t xml:space="preserve">         18.   We   may  observe   too that in  Luke   those parables  and  sayings  are                    </w:t>
        <w:br/>
        <w:t xml:space="preserve">         principally  found,   which   most  directly  regard   the  great  doctrine  of                    </w:t>
        <w:br/>
        <w:t xml:space="preserve">         man’s   free justification by   grace  through   faith:  e.g.  ch. xv.  11  ff;                    </w:t>
        <w:br/>
        <w:t xml:space="preserve">         xvii. 10;  xviii. 14,  in which   latter  place  the use  of  “justified”  (see                    </w:t>
        <w:br/>
        <w:t xml:space="preserve">         note  there)  is remarkable.    These   instances, however,   are  but  few,—                      </w:t>
        <w:br/>
        <w:t xml:space="preserve">         and  it may  perhaps   be doubted  whether   Commentators     in general  have                     </w:t>
        <w:br/>
        <w:t xml:space="preserve">         not  laid  too great  stress upon   them.    It would   be very  easy  to trace                    </w:t>
        <w:br/>
        <w:t xml:space="preserve">         similar relations  and  analogies   in the  other  Gospele,  if we  were   bent                    </w:t>
        <w:br/>
        <w:t xml:space="preserve">         upon  doing  so.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II.                                                   </w:t>
        <w:br/>
        <w:t xml:space="preserve">           FOR   WHAT    READERS    AND  WITH    WHAT    OBJECT   IT WAS   WRITTEN.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Both   these questions   are formally  answered   for  us by  the  Evan-                     </w:t>
        <w:br/>
        <w:t xml:space="preserve">         gelist himself.   He  states, ch. i. 8, that he wrote primarily  for the benefit                   </w:t>
        <w:br/>
        <w:t xml:space="preserve">         of  one Theophilus,  and  that he might  know   the certainty of those accounts                    </w:t>
        <w:br/>
        <w:t xml:space="preserve">         which  had formed   the subject of his catechetical instruction.                                   </w:t>
        <w:br/>
        <w:t xml:space="preserve">            2. But   we  can   hardly  suppose   this  object  to have   been  the  only                    </w:t>
        <w:br/>
        <w:t xml:space="preserve">         moving    cause  to the  great  work   which   Luke  was  undertaking.     Tho                     </w:t>
        <w:br/>
        <w:t xml:space="preserve">         probabilities of  the  case, and the  practice  of authors  in inscribing their                    </w:t>
        <w:br/>
        <w:t xml:space="preserve">         works   to  particular  persons, combine   to  persuade   us that  Luke   must                     </w:t>
        <w:br/>
        <w:t xml:space="preserve">         have   regarded  his  friend as the  representative  of a class of  readers for                    </w:t>
        <w:br/>
        <w:t xml:space="preserve">         whom    his Gospel  was  designed.    And  in enquiring  what   that class was,                    </w:t>
        <w:br/>
        <w:t xml:space="preserve">         we  must  deal  with the  data furnished  by  the Gospel   itself.                                 </w:t>
        <w:br/>
        <w:t xml:space="preserve">            3. In  it we find universality the  predominant   character.   There   is no                    </w:t>
        <w:br/>
        <w:t xml:space="preserve">         marked   regard  paid  to Jewish  readers,  as in  Matthew,   nor  to Gentiles,                    </w:t>
        <w:br/>
        <w:t xml:space="preserve">         as in Mark;   if there be any  preference,  it seems rather  on the  side of the                   </w:t>
        <w:br/>
        <w:t xml:space="preserve">         latter.  In  conformity  with  Jewish   practice, we have  a genealogy   of our                    </w:t>
        <w:br/>
        <w:t xml:space="preserve">         Lord,  which   however   does not, as  in Matthew,   stop  with Abraham,    but                    </w:t>
        <w:br/>
        <w:t xml:space="preserve">         traces  up his descent  even  to the  progenitor  of  the human   race.   Com-                     </w:t>
        <w:br/>
        <w:t xml:space="preserve">         mentators   have  noticed that  Luke   principally records  those  sayings  and                    </w:t>
        <w:br/>
        <w:t xml:space="preserve">         acts  of our  Lord   by which   God’s   mercy  to  the Gentiles   is set forth :                   </w:t>
        <w:br/>
        <w:t xml:space="preserve">                 43]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