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INTRODUCTION.      }           JOUN’S       GOSPEL.                            [cu.  v.         </w:t>
        <w:br/>
        <w:t xml:space="preserve">                                                                                                            </w:t>
        <w:br/>
        <w:t xml:space="preserve">            pose  some   influence   corresponding    to  that  of John,   between    the  state of         </w:t>
        <w:br/>
        <w:t xml:space="preserve">            the  Asiatic  Churches     as shewn    in the  Pauline   Epistles,  and   that  in  the         </w:t>
        <w:br/>
        <w:t xml:space="preserve">            time  of  Polycarp,    who   immediately     followed   the   apostolic   age.    I re-         </w:t>
        <w:br/>
        <w:t xml:space="preserve">            serve  the  discussion   of  the other   clement    of  uncertainty   in  this matter,          </w:t>
        <w:br/>
        <w:t xml:space="preserve">            —the    possible   confusion   of  two   persons   named    John,   the  Apostle    and         </w:t>
        <w:br/>
        <w:t xml:space="preserve">            the  Presbyter,   for  the  Introduction    to the  Second    Epistle  of John.                 </w:t>
        <w:br/>
        <w:t xml:space="preserve">               13.  I mention    here,—reserving      its discussion    for  the Introduction     to        </w:t>
        <w:br/>
        <w:t xml:space="preserve">            the  Apocalypse,—the       tradition  universally   received   in  the early  Church,           </w:t>
        <w:br/>
        <w:t xml:space="preserve">            which   records   that  the  Apostle   John    was  exiled   under   Domitian    to the         </w:t>
        <w:br/>
        <w:t xml:space="preserve">            island  of Patmos.      Assuming     the Apocalypse     to be  his  work,   the fact  of        </w:t>
        <w:br/>
        <w:t xml:space="preserve">            such   an  exile  is established,  see  Rev.   i. 9,—but    the  time  left uncertain.          </w:t>
        <w:br/>
        <w:t xml:space="preserve">             But  even   those  who    do  not  ascribe   the  Apocalypse     to him,   relate  this        </w:t>
        <w:br/>
        <w:t xml:space="preserve">            exile,—for    example,    Eusebius.                                                             </w:t>
        <w:br/>
        <w:t xml:space="preserve">               14.  It  is also related  by   Eusebius    that  he   returned    under   Nerva    to        </w:t>
        <w:br/>
        <w:t xml:space="preserve">            Ephesus,    and   that  his  death   (under   Trajan,   see   above)   took  place   (in        </w:t>
        <w:br/>
        <w:t xml:space="preserve">            what   manner    is  uncertain,   but  probably    not  by martyrdom)      in extreme           </w:t>
        <w:br/>
        <w:t xml:space="preserve">            old  age.    It would   be  out  of  place  here  to  recount   the  other  traditions,         </w:t>
        <w:br/>
        <w:t xml:space="preserve">            some   of  them  highly   interesting,   which   are  extant.    See  one  of  them   in        </w:t>
        <w:br/>
        <w:t xml:space="preserve">            note  on  1  John   iii. 18, and  the  whole    recounted    and   commented      on  in        </w:t>
        <w:br/>
        <w:t xml:space="preserve">             Stanley’s  Sermons    and   Essays   on  the  Apostolic   Age,   pp.  275—289.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SECTION        II.                                           </w:t>
        <w:br/>
        <w:t xml:space="preserve">                                                ITS  SOURCES.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1. In  several   places   the  Author     of  this Gospel    plainly   declares   or        </w:t>
        <w:br/>
        <w:t xml:space="preserve">             implies   that  he  relates  what    he   had   seen  and   heard.     See  ch. i. 14;         </w:t>
        <w:br/>
        <w:t xml:space="preserve">             xiii. 2;  xviii. 15;   xix.  26;   xx.  2, and   especially   xix.   35.   Also    xxi.        </w:t>
        <w:br/>
        <w:t xml:space="preserve">             24,                                                                                            </w:t>
        <w:br/>
        <w:t xml:space="preserve">                2. And    with    this  declaration    the   contents    of  the   Gospel    agree.         </w:t>
        <w:br/>
        <w:t xml:space="preserve">             Amidst    the   entire  disregard    of  minute    specifications    of  sequence    or        </w:t>
        <w:br/>
        <w:t xml:space="preserve">             locality  as a general   rule,  in almost   every   narrative   we  have   undoubted           </w:t>
        <w:br/>
        <w:t xml:space="preserve">             marks   of the  testimony    of an  eye-witness.                                               </w:t>
        <w:br/>
        <w:t xml:space="preserve">                8.  The  only  question   which    arises on   receiving   this  as  the  fact,  has        </w:t>
        <w:br/>
        <w:t xml:space="preserve">             reference   to the  diversity  of  style observed   in the  discourses   of  our  Lord         </w:t>
        <w:br/>
        <w:t xml:space="preserve">             as related   by  the three  other   Evangelists,   and   as  related   by  John.     In        </w:t>
        <w:br/>
        <w:t xml:space="preserve">             their  more   or less  common     report,  a  certain   similarity  of  style  is  sup-        </w:t>
        <w:br/>
        <w:t xml:space="preserve">             posed   to be  observable    throughout     the  parables    and   sayings  of  Jesus,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which    is wholly   absent   from   them    in John’s   Gospel.     Let  us  examine          </w:t>
        <w:br/>
        <w:t xml:space="preserve">             this  matter  more   closely.                                                                  </w:t>
        <w:br/>
        <w:t xml:space="preserve">                4,  In order   to form   a                                                                  </w:t>
        <w:br/>
        <w:t xml:space="preserve">                                             tisfactory   judgment    on  this point,  it would   be        </w:t>
        <w:br/>
        <w:t xml:space="preserve">             necessary   to  be in  possession   of  some   common     matter   reported   by  both.        </w:t>
        <w:br/>
        <w:t xml:space="preserve">                      54]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