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 in]                 FOR    WHAT        READERS,         &amp;e.       [)yrropuction.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our  Lord   which    became   current    at Jerusalem     from   his  own    testimony                 </w:t>
        <w:br/>
        <w:t xml:space="preserve">     and   that of  the  other  Apostles.     Accordingly     we  find  him  in his  Gospel                 </w:t>
        <w:br/>
        <w:t xml:space="preserve">     assuming    as known,    certain facts  contained   in  that cycle.    See  ch. vii. 41,               </w:t>
        <w:br/>
        <w:t xml:space="preserve">     and   note,—ch.    xi.  1,—also    ch. i, 40,  where   Simon   Peter   is  referred   to               </w:t>
        <w:br/>
        <w:t xml:space="preserve">     as  one known,    before  the  giving   of the  latter name    is related.                             </w:t>
        <w:br/>
        <w:t xml:space="preserve">         12. I  can   hardly   however    suppose,   that  John    wrote   with   any  fixed                </w:t>
        <w:br/>
        <w:t xml:space="preserve">     design   of  filling up  by   a  supplementary     Gospel    the  deficiencies   of tha                </w:t>
        <w:br/>
        <w:t xml:space="preserve">     generally-received      oral  account.     Sometimes,    e. g. ch.  vi. 1—14,    xviii.,               </w:t>
        <w:br/>
        <w:t xml:space="preserve">     xix.,  he  goes  over   the same  ground   with   it:  and  in no  part  can  it by the                </w:t>
        <w:br/>
        <w:t xml:space="preserve">     most   ingenious   application    of  the  supplementary      theory   be shewn,    that               </w:t>
        <w:br/>
        <w:t xml:space="preserve">     he   in any   respect   produces    or  aims   at  the  effect  of  a work    designed                 </w:t>
        <w:br/>
        <w:t xml:space="preserve">     to  fill up and  elucidate   those  which    have   gone   before.    This   point  will               </w:t>
        <w:br/>
        <w:t xml:space="preserve">     be  dwelt   on more   at  length  in  the  next  section.                                              </w:t>
        <w:br/>
        <w:t xml:space="preserve">         13. I  have  no  hesitation,   therefore,   in receiving    as  the  true  account                 </w:t>
        <w:br/>
        <w:t xml:space="preserve">     of  the source   of  this  Gospel,   that  generally    given   and   believed  ;—viz.                 </w:t>
        <w:br/>
        <w:t xml:space="preserve">     that  we   have   it from    the  authority   of  the  Apostle    himself   as  an   eye               </w:t>
        <w:br/>
        <w:t xml:space="preserve">     and   ear-witness.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SECTION        IIL                                                  </w:t>
        <w:br/>
        <w:t xml:space="preserve">        FOR   WHAT     READERS     AND   WITH    WHAT     OBJECT     IT  WAS   WRITTEN.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1. This    Gospel    presupposes      readers   already    Christians,    and   was                </w:t>
        <w:br/>
        <w:t xml:space="preserve">      written  to  build  them   up  and  confirm   them   in  the  faith.    (See  ch.  xix.               </w:t>
        <w:br/>
        <w:t xml:space="preserve">      35;  Xx.   315    It  is, as Liiecke   remarks,    neither   complete    enough,    nor               </w:t>
        <w:br/>
        <w:t xml:space="preserve">      elementary    enough,   for  the  jirst founding    of  a belief   in  Christ   in  the               </w:t>
        <w:br/>
        <w:t xml:space="preserve">      mind.    This    must   have    been,   even   as  early   as  the  apostolic   times,                </w:t>
        <w:br/>
        <w:t xml:space="preserve">      the  work    of  no  written   Gospel    (see   Luke   i. 1—4),    but   of  the   oral               </w:t>
        <w:br/>
        <w:t xml:space="preserve">      preaching   of the  word.     “These    (things)   are written   that ye  may  believe                </w:t>
        <w:br/>
        <w:t xml:space="preserve">      that Jesus   Christ   is the Son   of God:    and  that  believing  ye  may  have   life              </w:t>
        <w:br/>
        <w:t xml:space="preserve">      in His  name.”                                                                                        </w:t>
        <w:br/>
        <w:t xml:space="preserve">         2, Being    written   then   for  Christian    readers,   the  main   and  ultimate                </w:t>
        <w:br/>
        <w:t xml:space="preserve">      purpose   as regards   them   is sufficiently  declared    in ch, xx.   31.                           </w:t>
        <w:br/>
        <w:t xml:space="preserve">         3. This   purpose    however,    as  it would    be   common     to all the  sacred                </w:t>
        <w:br/>
        <w:t xml:space="preserve">      writings   of the  New    Testament    more   or  less, in no  way  accounts    for the               </w:t>
        <w:br/>
        <w:t xml:space="preserve">      peculiar  cast  of the  Gospel,  or  the portions   of the  Christian’s   faith which                 </w:t>
        <w:br/>
        <w:t xml:space="preserve">      are  most    prominently     brought     out  in  it.  These    will   require   closer               </w:t>
        <w:br/>
        <w:t xml:space="preserve">      examination.                    .                                                                     </w:t>
        <w:br/>
        <w:t xml:space="preserve">         4. It   will  at  once    appear,   that   some   especial  occasion    must   havo                </w:t>
        <w:br/>
        <w:t xml:space="preserve">      induced   John   to  write  so pointedly    as he  has   done  on  certain  doctrines,                </w:t>
        <w:br/>
        <w:t xml:space="preserve">      —and    to adopt,   in doing   so, a nomenclature      unknown     to  the rest  of the               </w:t>
        <w:br/>
        <w:t xml:space="preserve">      New    Testament    writers.     Some    state  of  opinion   in  the   Church    must                </w:t>
        <w:br/>
        <w:t xml:space="preserve">      have   rendered   it necessary    for the  Apostle   to state   strongly   and  clearly               </w:t>
        <w:br/>
        <w:t xml:space="preserve">      the truth   about  which   error  was  prevalent,   or  questions   had  been   raised :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57]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