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INTRODUCTION.      ]           JOHN’S       GOSPEL.                            (cu.  v.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9.  Our  only  resource    then  must   be,  the  space   included   between     the        </w:t>
        <w:br/>
        <w:t xml:space="preserve">             very  wide   limits above   indicated.    The  final departure    of Paul  from   Asia         </w:t>
        <w:br/>
        <w:t xml:space="preserve">             Minor,   and  indeed   his  death,  must   be  supposed    to have   happened     some         </w:t>
        <w:br/>
        <w:t xml:space="preserve">             time  ;—this,   such   as it  is, will  be  our   earliest  limit ;—and     our  latest        </w:t>
        <w:br/>
        <w:t xml:space="preserve">             limit, the  probable   duration    of  John’s   life, or  more   properly   speaking,          </w:t>
        <w:br/>
        <w:t xml:space="preserve">             of  his power    of writing   as we  find  him  writing   in this  Gospel.    And    as        </w:t>
        <w:br/>
        <w:t xml:space="preserve">             antiquity   testifies that  he lived   to a great  age,  and   survived   his  vigour,         </w:t>
        <w:br/>
        <w:t xml:space="preserve">             this latter  terminus   will  be  even  less  definite than   the  former.                     </w:t>
        <w:br/>
        <w:t xml:space="preserve">                10,  One   consideration,    however,    may    tend  somewhat     to  narrow    its        </w:t>
        <w:br/>
        <w:t xml:space="preserve">             limits.   Ihave    argued    in the   Commentary,      that  ch.  xxi.  is a  genuine          </w:t>
        <w:br/>
        <w:t xml:space="preserve">             addition  by  the  hand   of  the Apostle    himself,   probably   in the  decline   of        </w:t>
        <w:br/>
        <w:t xml:space="preserve">             life, some  years  at least, from   internal  evidence    of style, after  the Gospel          </w:t>
        <w:br/>
        <w:t xml:space="preserve">             was  completed.      Add   to  which,   as  hinted  above,   that  the  style   of  the        </w:t>
        <w:br/>
        <w:t xml:space="preserve">             Gospel   is, as Liicke  has  also  remarked,     that of  a matured,   but  not  of an         </w:t>
        <w:br/>
        <w:t xml:space="preserve">             aged  writer.                                                                                  </w:t>
        <w:br/>
        <w:t xml:space="preserve">                11.  Whether    then   we  set the  death   of  Paul  with   Wieseler   in a.p.  64,        </w:t>
        <w:br/>
        <w:t xml:space="preserve">             or, as upholders    of  a second   Roman     imprisonment,     in  a.D.  68,  we   per-        </w:t>
        <w:br/>
        <w:t xml:space="preserve">             haps  must   not  in  either  case   allow  our  earliest  limit to be  placed   much          </w:t>
        <w:br/>
        <w:t xml:space="preserve">             earlier than  70:    nor, supposing    John   to have   been  a  few  years  younger           </w:t>
        <w:br/>
        <w:t xml:space="preserve">             than  our  Lord,  can  we    prolong   our   latest  limit  much    beyond    A.D.  85.        </w:t>
        <w:br/>
        <w:t xml:space="preserve">             We   should   thus   have,  but  with   no   great  fixity  either  way,   somewhere           </w:t>
        <w:br/>
        <w:t xml:space="preserve">             about fifteen  years,—Aa.D.    70—85,    during   which    it is probable    that   the        </w:t>
        <w:br/>
        <w:t xml:space="preserve">             Gospel   was  published.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 V.                                            </w:t>
        <w:br/>
        <w:t xml:space="preserve">                               IN   WHAT    LANGUAGE       IT  WAS   WRITTEN.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1. The   testimony   of  antiquity  is unanimous     that John   wrote   in Greek.          </w:t>
        <w:br/>
        <w:t xml:space="preserve">             Nor   is there any   reason  to  doubt  the   fact.   If  he  lived   and  taught    in,       </w:t>
        <w:br/>
        <w:t xml:space="preserve">             Asia  Minor,   he  must   have  been   familiar  with   the  Greek   language.                 </w:t>
        <w:br/>
        <w:t xml:space="preserve">                2. Some   among    the moderns    have   held an  Aramaic    or Hebrew    original.         </w:t>
        <w:br/>
        <w:t xml:space="preserve">             They   seem   to ground    this principally   on  the citations   from  the  Old  Tes-         </w:t>
        <w:br/>
        <w:t xml:space="preserve">             tament   being   from  the   Hebrew,    not  from   the LXX.       But  this  latter is        </w:t>
        <w:br/>
        <w:t xml:space="preserve">             by  no means    without   exception.     That   we  find  other   citations  after the         </w:t>
        <w:br/>
        <w:t xml:space="preserve">             Tebrew    solely  or principally,  was  to  be expected    from   the Apostle’s   per-         </w:t>
        <w:br/>
        <w:t xml:space="preserve">             sonal  history,  as a Jew    of Palestine   who    had   been   brought    up   in the         </w:t>
        <w:br/>
        <w:t xml:space="preserve">             knowledge     of  the   Hebrew      original:    and   is a   confirmation     of  the         </w:t>
        <w:br/>
        <w:t xml:space="preserve">             genuineness    of the  Gospel.     See  below   in  the next   section.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64)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