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INTRODUCTION.     }            JOHN’S       GOSPEL.                           (cx.   v.         </w:t>
        <w:br/>
        <w:t xml:space="preserve">                                                                                                            </w:t>
        <w:br/>
        <w:t xml:space="preserve">            Eusebius    gives   his  testimony    entire,   appears    not  to  recognize  Luke's           </w:t>
        <w:br/>
        <w:t xml:space="preserve">            Gospel,  but  only  those  of  Matthew     and   Mark.      It is remarkable,    how-           </w:t>
        <w:br/>
        <w:t xml:space="preserve">            ever, on  the other  hand,   that Papias   recognizes    the First  Epistle  of John,           </w:t>
        <w:br/>
        <w:t xml:space="preserve">            which,   as remarked    in § iv., was  probably   written  after  the Gospel.     This          </w:t>
        <w:br/>
        <w:t xml:space="preserve">            would   seem   to make   it probable   that  we  have   not  in Eusebius    the whole           </w:t>
        <w:br/>
        <w:t xml:space="preserve">            testimony    of Papias   given   ; for  it would    certainly  seem    from   internal          </w:t>
        <w:br/>
        <w:t xml:space="preserve">            grounds    that  the   First  Epistle    and    the  Gospel     must   stand   or  fall         </w:t>
        <w:br/>
        <w:t xml:space="preserve">            together.                                                                                       </w:t>
        <w:br/>
        <w:t xml:space="preserve">              5.  It is evident   that  too  much    stress must   not  be  laid on   the  silence          </w:t>
        <w:br/>
        <w:t xml:space="preserve">            of Polycarp,    from   whom     we   have    one  short   epistle   only.    He   also          </w:t>
        <w:br/>
        <w:t xml:space="preserve">            (apparently)   was   acquainted     with   the  First   Epistle  of  John.     But  he          </w:t>
        <w:br/>
        <w:t xml:space="preserve">           wrote   with  no  purpose   of giving   testimony   to the  sacred   books,  and  what           </w:t>
        <w:br/>
        <w:t xml:space="preserve">           reason   therefore   have   we  to  expect   in  his  Epistle,   quotations   from    or         </w:t>
        <w:br/>
        <w:t xml:space="preserve">           allusions   to any  particular   book   which    did  not  happen    to  come   within           </w:t>
        <w:br/>
        <w:t xml:space="preserve">           his  design,  and  the  subject   of which   he  was   treating  ?                               </w:t>
        <w:br/>
        <w:t xml:space="preserve">              6.  The   same   may   be   said  of  the  silence   of  Barnabas,    Hermas,    and          </w:t>
        <w:br/>
        <w:t xml:space="preserve">           Ignatius.     Had   any  intention   existed  on  the  part of  the primitive   Chris-           </w:t>
        <w:br/>
        <w:t xml:space="preserve">           tian  writers   of informing    posterity   what   books   were   counted    canonical           </w:t>
        <w:br/>
        <w:t xml:space="preserve">           in  their  days,  their  silence   would    be  a  strong   argument      against   any          </w:t>
        <w:br/>
        <w:t xml:space="preserve">           particular   book  :—but    they  had   no  such   intention;    their  citations   are          </w:t>
        <w:br/>
        <w:t xml:space="preserve">           fortuitous,  and   most  of them   loose  and   allusory  only.    So  that we  cannot           </w:t>
        <w:br/>
        <w:t xml:space="preserve">           argue   from  such   silence   to  the  recognition    or  otherwise    of  any  book,           </w:t>
        <w:br/>
        <w:t xml:space="preserve">           unless  it be  universal   and  continuous,    which   is not  the  case  with  regard           </w:t>
        <w:br/>
        <w:t xml:space="preserve">           to this  Gospel.                                                                                 </w:t>
        <w:br/>
        <w:t xml:space="preserve">              7.  Again,   the  kind  of  testimony   furnished     by  Irenezus   is  peculiarly           </w:t>
        <w:br/>
        <w:t xml:space="preserve">           valuable.     He  does   not relate  from   whom    he had   heard   that John   wrote           </w:t>
        <w:br/>
        <w:t xml:space="preserve">           a Gospel,   but   he  treats  and   quotes    it as a  well-known     and   long-used            </w:t>
        <w:br/>
        <w:t xml:space="preserve">           book   in the  Christian   Church.      What    could   have    induced   Irenzus     to         </w:t>
        <w:br/>
        <w:t xml:space="preserve">           do  this, except   the fact  of  its being  thus  known    and  used?     So  that this          </w:t>
        <w:br/>
        <w:t xml:space="preserve">           character    of  his  testimony     virtually   carries   it back   farther   than   its         </w:t>
        <w:br/>
        <w:t xml:space="preserve">           actual  date.    Besides,   when   one  who    has  had  the means    which   Irenus             </w:t>
        <w:br/>
        <w:t xml:space="preserve">           had   of ascertaining    the  truth  in a matter,   asserts  things   respecting   that          </w:t>
        <w:br/>
        <w:t xml:space="preserve">           matter,—the     ordinary    and  just method    is to  suppose    that  he  draws    his         </w:t>
        <w:br/>
        <w:t xml:space="preserve">           information   from   his superior   opportunities   of  gaining   it, even  though   he          </w:t>
        <w:br/>
        <w:t xml:space="preserve">           may   not  expressly   say  so: so that  when   Irenzus,   who   had  conversed   with           </w:t>
        <w:br/>
        <w:t xml:space="preserve">           Polycarp    himself,   the friend  of  the  Apostle   John,   quotes   this Gospel   as          </w:t>
        <w:br/>
        <w:t xml:space="preserve">           the  work   of  that  Apostle,   we   may   fairly  presume    that  he  had   assured           </w:t>
        <w:br/>
        <w:t xml:space="preserve">           himself    of this  by  the  testimony    of  one  so  well   capable   of  informing            </w:t>
        <w:br/>
        <w:t xml:space="preserve">           him.                                                                                             </w:t>
        <w:br/>
        <w:t xml:space="preserve">              8.  Another    historical  argument    used  against   its genuineness    is,—that            </w:t>
        <w:br/>
        <w:t xml:space="preserve">           in  the dispute   about   the time  of  keeping    Easter   between    Polycarp    and           </w:t>
        <w:br/>
        <w:t xml:space="preserve">           Anicetus    bishop   of Rome,    about   the year   160,  the  former   defended    the          </w:t>
        <w:br/>
        <w:t xml:space="preserve">           practice   of  the Asiatic   Churches,—which         was   to keep   their   Christian           </w:t>
        <w:br/>
        <w:t xml:space="preserve">           passover    at the  time  of  the Jewish    passover,   the evening    of the  14th   of         </w:t>
        <w:br/>
        <w:t xml:space="preserve">                    66)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