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vi.J                      ITS   GENUINENESS.                      [inrRopUcTIoN.                     </w:t>
        <w:br/>
        <w:t xml:space="preserve">                                                                                                            </w:t>
        <w:br/>
        <w:t xml:space="preserve">    Nisan,    by  what    he  had   learned    from   John    and   the  other   Apostles.                  </w:t>
        <w:br/>
        <w:t xml:space="preserve">    But,  say  the  opponents,    John   himself    in his  Gospel   clearly  relates   that                </w:t>
        <w:br/>
        <w:t xml:space="preserve">    our  Lord    instituted  the  Lord’s   supper    on   the  evening    of  the   15th  of                </w:t>
        <w:br/>
        <w:t xml:space="preserve">    Nisan,   and  was   crucified  on the  14th.   Therefore    either  Polycarp     falsely                </w:t>
        <w:br/>
        <w:t xml:space="preserve">    appealed    to John’s    authority,   which    is not   probable,   or John    did   not                </w:t>
        <w:br/>
        <w:t xml:space="preserve">    write   the Gospel    which   bears  his  name.    But,  as  Liicke   has  shewn,   this                </w:t>
        <w:br/>
        <w:t xml:space="preserve">    argument     is altogether   built on  the  assumption     that  the  Christian    pass-                </w:t>
        <w:br/>
        <w:t xml:space="preserve">    over   must   necessarily   coincide   with    the  time  of  the  institution   of  the                </w:t>
        <w:br/>
        <w:t xml:space="preserve">    Lord’s   supper   ; whereas    such   a  coincidence     docs   not  appear    to  have                 </w:t>
        <w:br/>
        <w:t xml:space="preserve">    entered   into  the  consideration    of  the  litigants   in this  case,  but  merely                  </w:t>
        <w:br/>
        <w:t xml:space="preserve">    the  question,   whether    the  Churches    should    follow  the  Jewish    calendar,                 </w:t>
        <w:br/>
        <w:t xml:space="preserve">    or  an arrangement      of  their  own.     Even    in  the  later  dispute   between                   </w:t>
        <w:br/>
        <w:t xml:space="preserve">    Polycrates,    bishop  of  Ephesus,    and  Victor,   on  the same   point,  this ques-                 </w:t>
        <w:br/>
        <w:t xml:space="preserve">    tion  was  not  raised,  but  the matter   was   debated   on  other   grounds.                         </w:t>
        <w:br/>
        <w:t xml:space="preserve">       9.  The   last historical  objection   which   I  shall notice   is, that this  Gos-                 </w:t>
        <w:br/>
        <w:t xml:space="preserve">    pel  was  first circulated   by  the Gnosties,   and   therefore   is to be  looked   on                </w:t>
        <w:br/>
        <w:t xml:space="preserve">    with   suspicion.    But   Liicke  has  shewn    that  this  was  not  the  case:   that                </w:t>
        <w:br/>
        <w:t xml:space="preserve">    unquestionable    traces  of  catholic  reception   of  it  are  found   before  it was                 </w:t>
        <w:br/>
        <w:t xml:space="preserve">    received  by  them:   and  that,  at all events,   Irenzus   recoguized    and   used  it               </w:t>
        <w:br/>
        <w:t xml:space="preserve">    contemporaneously       with   the Valentinians.       The   known     opposition    be-                </w:t>
        <w:br/>
        <w:t xml:space="preserve">    tween   the  catholic  Fathers    and  the  Guostics   furnishes   a  sure  guarantee,                  </w:t>
        <w:br/>
        <w:t xml:space="preserve">    that  had   these  latter first  promulgated     the  Gospel,   it never   would   have                 </w:t>
        <w:br/>
        <w:t xml:space="preserve">    been  received  into  the Canon   of  the catholic   Church.                                            </w:t>
        <w:br/>
        <w:t xml:space="preserve">       10.  The   modern    opponents    of  the   genuineness    and  canonicity    of this                </w:t>
        <w:br/>
        <w:t xml:space="preserve">    Gospel    have  raised   two   arguments     against    it upon    internal  evidence.                  </w:t>
        <w:br/>
        <w:t xml:space="preserve">    The   first of these  rests  upon   the  assumed    radical   diversity  between     the                </w:t>
        <w:br/>
        <w:t xml:space="preserve">    views   of  the  Person    and  teaching    of Christ   presented     to us   by  John,                 </w:t>
        <w:br/>
        <w:t xml:space="preserve">    and  by   the other   three Evangelists.     On   this  point  I have   said nearly   all               </w:t>
        <w:br/>
        <w:t xml:space="preserve">    that  is necessary   in  § ii.;  and  I will  only   now   add,  that  supposing     the                </w:t>
        <w:br/>
        <w:t xml:space="preserve">    diversity   to be  as unaccountable      as it is matural,  it would   of  itself serve                 </w:t>
        <w:br/>
        <w:t xml:space="preserve">    as  a strong   presumption     that  the  Gospel    was  not  the  work   of  a forger,                 </w:t>
        <w:br/>
        <w:t xml:space="preserve">    who   would    have  enlarged    and   decorated    the accounts    already   existing,                 </w:t>
        <w:br/>
        <w:t xml:space="preserve">    but  a  genuine     testimony   of  one   who   was   not   an  imitator   of  nor   de-                </w:t>
        <w:br/>
        <w:t xml:space="preserve">    pendent    on  those  others.                                                       .                   </w:t>
        <w:br/>
        <w:t xml:space="preserve">       11.  The   second   endeavours,    by   bringing   out  various   supposed    incon-                 </w:t>
        <w:br/>
        <w:t xml:space="preserve">    sistencies   in the  narration,   to show    that  the  Apostle   John    cannot   have                 </w:t>
        <w:br/>
        <w:t xml:space="preserve">    been   the  Author.      Such   are,—imagined      want    of  connexion     in certain                 </w:t>
        <w:br/>
        <w:t xml:space="preserve">    parts  (ch.  iv. 44;   xiii. 20;  xiv.  31,  where    see  notes);—an      imputed   in-                </w:t>
        <w:br/>
        <w:t xml:space="preserve">    consistency    in the  character    and  development     of  the  treachery   of  Judas                 </w:t>
        <w:br/>
        <w:t xml:space="preserve">    (see  note  on  ch.  vi. 64);—the     not naming    once   m  the  Gospel   of his  own                 </w:t>
        <w:br/>
        <w:t xml:space="preserve">    Lrother   James    (which,   as  Liicke  remarks,    is far vasier  to account    for on                </w:t>
        <w:br/>
        <w:t xml:space="preserve">    supposition     of  its genuineness     than  on  that of  its spuriousness    5);—the                  </w:t>
        <w:br/>
        <w:t xml:space="preserve">       5 James,  the  son of Zebedee,  though  one of the favoured Three,  comes forward  no                </w:t>
        <w:br/>
        <w:t xml:space="preserve">    where  personally in  the Gospels, nor  in the  Acts;  and  vanishes the  first of all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Vor.  I.—67]                                                            f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