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vir.]           ITS    STYLE      AND      CHARACTER.             [intropeucrioy.                  </w:t>
        <w:br/>
        <w:t xml:space="preserve">                                                                                                            </w:t>
        <w:br/>
        <w:t xml:space="preserve">         7.  With   regard   to  the  style  of  this Gospel,    it may   be  remarked,    (1)              </w:t>
        <w:br/>
        <w:t xml:space="preserve">      that  Dionysius    of Alexandria,    as  cited by  Eusebius,    remarked    the  purity               </w:t>
        <w:br/>
        <w:t xml:space="preserve">      of  its dietion  in the  original,  as compared     with   that  of  the  Apocalypse.                 </w:t>
        <w:br/>
        <w:t xml:space="preserve">      (2)  That   without    subscribing     to  the  whole    of his  eulogy,   if  classical              </w:t>
        <w:br/>
        <w:t xml:space="preserve">      authors   are  to be  the  standard.   of  comparison,    the   same   will  hold  good               </w:t>
        <w:br/>
        <w:t xml:space="preserve">      of this  Gospel   as  compared    with   the  other  three.    (3)  That   the  greater               </w:t>
        <w:br/>
        <w:t xml:space="preserve">      purity  of its  diction  is perhaps    mainly  owing    to its far greater   simplicity               </w:t>
        <w:br/>
        <w:t xml:space="preserve">      of style.   While    the  deepest    truths   lie  beneath    the  words,   the  words                </w:t>
        <w:br/>
        <w:t xml:space="preserve">      themselves    are almost   colloquial  in  their simplicity   ; the historical   matter               </w:t>
        <w:br/>
        <w:t xml:space="preserve">      is of small  amount    as  compared     with  the  dialogue.     (4)  That   while   the              </w:t>
        <w:br/>
        <w:t xml:space="preserve">      language    is for the  most   part unobjectionable     Greck,    the cast  of expres-                </w:t>
        <w:br/>
        <w:t xml:space="preserve">      sion  and  thought    is Hebraistie.     There   is, both  here  and   in the  Epistle,               </w:t>
        <w:br/>
        <w:t xml:space="preserve">      very  little unfolding   or  deducing   one   proposition   from  another   ;  different              </w:t>
        <w:br/>
        <w:t xml:space="preserve">      steps  of an  argument,    or  sometimes     different  conclusions    from   mutually                </w:t>
        <w:br/>
        <w:t xml:space="preserve">      dependent     arguments,     are  indicated    by  mere    juxtaposition    ;—and    the              </w:t>
        <w:br/>
        <w:t xml:space="preserve">      intelligent  reader   must    be  carrying    on,  as  it were,  an  undercurrent     of              </w:t>
        <w:br/>
        <w:t xml:space="preserve">      thought,   or the  connexion    will  net be  perceived.    (5) That   in  this respect               </w:t>
        <w:br/>
        <w:t xml:space="preserve">      this Gospel    forms   a  remarkable      contrast   to  those   parts   of  the  New                 </w:t>
        <w:br/>
        <w:t xml:space="preserve">      Testament     written   by  Hellenistic   Christians   ; e. g. the  Epistles   of Paul,               </w:t>
        <w:br/>
        <w:t xml:space="preserve">      and  that  to the  Hebrews;      in which,    while  external   marks   of  Hebraistic                </w:t>
        <w:br/>
        <w:t xml:space="preserve">      diction  abound,    there  is yet  an internal   conformation     of  style,  and  con-               </w:t>
        <w:br/>
        <w:t xml:space="preserve">      nexion   of thought,    more   characteristic   of  the  Grecian   mind:    they  write               </w:t>
        <w:br/>
        <w:t xml:space="preserve">      more   in periods,  and  more   according    to dialectic   form.    In  observing    all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Son  of  God—heginning    of opposition (v. 1—47):   (b) Jesus  the  Life in the             </w:t>
        <w:br/>
        <w:t xml:space="preserve">               flesh,—progress  of beliefand unbelief (vi. 1-71).                                           </w:t>
        <w:br/>
        <w:t xml:space="preserve">             2. Jesus the Light.   Height  of the conflict. ch.          (a) He meets  the un-              </w:t>
        <w:br/>
        <w:t xml:space="preserve">               belief of the  Jews  at Jerusalem   (vii. 1—52):  (b) opposition between  Jesus              </w:t>
        <w:br/>
        <w:t xml:space="preserve">               and  the Jews at its height (vii. 12-59):   (c) Jesus  the Light  of  the world              </w:t>
        <w:br/>
        <w:t xml:space="preserve">               for salvation, and for judgment  (ix. x.).                                                   </w:t>
        <w:br/>
        <w:t xml:space="preserve">             3. The delivery of Jesus to death is the Life and the Judgment  of the world. ch.              </w:t>
        <w:br/>
        <w:t xml:space="preserve">               xi. xii. (a) The raising from  the Dead  (xi. 1—57) : (b) Prophetic  announce-               </w:t>
        <w:br/>
        <w:t xml:space="preserve">               ments  of the Future  (xii.        (c) Final judgment  on Israel (ib. 3750).                 </w:t>
        <w:br/>
        <w:t xml:space="preserve">        Ill. Jesus  anp   His own:   ch.  xiiii—xx.                                                         </w:t>
        <w:br/>
        <w:t xml:space="preserve">             1. Jesus’ Love and  the belief of His disciples. (a) His  Love  in condescension               </w:t>
        <w:br/>
        <w:t xml:space="preserve">               (xiii. 1—30): (b) His Love  in keeping and completing  the disciples in the                  </w:t>
        <w:br/>
        <w:t xml:space="preserve">               (xiii. 31.—xvi. 33): (c) His Love in the exaltation of the Son of God  (xvii.).              </w:t>
        <w:br/>
        <w:t xml:space="preserve">             2. Jesus the Lord:  the unbelief  of Israel, now in its completion: the  belief of             </w:t>
        <w:br/>
        <w:t xml:space="preserve">               His own  (ch. xviii—xx.).   (a) His  free self-surrender to His enemies, and to              </w:t>
        <w:br/>
        <w:t xml:space="preserve">               the unbelief of Israel (xviii.       16): (b) His self-surrender to Death,  and              </w:t>
        <w:br/>
        <w:t xml:space="preserve">               divine testimony  in death (xix. 16—42):  (c) His manifestation  of Himself  as              </w:t>
        <w:br/>
        <w:t xml:space="preserve">               passed from  death into liberty and life, and the  completion of  the disciples’             </w:t>
        <w:br/>
        <w:t xml:space="preserve">               faith worked  thereby (xx. 1—29).                                                            </w:t>
        <w:br/>
        <w:t xml:space="preserve">        The  AppENnDIx:   ch. xxi.  The  glimpse into the future.  (a) The  symbolic  draught               </w:t>
        <w:br/>
        <w:t xml:space="preserve">          of fishes (1—8):  (b) the symbolic  meal  (9—14):   (c) The calling and its prospect              </w:t>
        <w:br/>
        <w:t xml:space="preserve">           (15—23):   (d) conclusion.                                                                       </w:t>
        <w:br/>
        <w:t xml:space="preserve">        These  leading scctions he follows out into minor detail in other subdivisions of much              </w:t>
        <w:br/>
        <w:t xml:space="preserve">      interest.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7]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