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m.J                  FOR     WHAT       READERS,        &amp;e.       {tvrropucrion.                      </w:t>
        <w:br/>
        <w:t xml:space="preserve">                                                                                                            </w:t>
        <w:br/>
        <w:t xml:space="preserve">    pendious   character    makes   it probable    that  it may   have   been   drawn    up                 </w:t>
        <w:br/>
        <w:t xml:space="preserve">    by  Luke   from   Paul’s  own   report  of the substance   of  what  he  said.                          </w:t>
        <w:br/>
        <w:t xml:space="preserve">       (d)  The   important    apology   before  Agrippa    and   Festus  (ch.  xxvi.   1—                  </w:t>
        <w:br/>
        <w:t xml:space="preserve">    29)  is full of St. Paul’s   peculiar   expressions.      It was   spoken   in  Greek,                  </w:t>
        <w:br/>
        <w:t xml:space="preserve">    and  taken   down   very   nearly  as  spoken.     Some    phrases    however    occur                  </w:t>
        <w:br/>
        <w:t xml:space="preserve">    in it which    seem   to  belong   to  Luke;    just  enough     to  shew    the  hand                  </w:t>
        <w:br/>
        <w:t xml:space="preserve">    which   has  committed     the speech   to  writing.     We   must   remember     how-                  </w:t>
        <w:br/>
        <w:t xml:space="preserve">    ever  that  several   of  these   are  expressive     of  meanings     not  elsewhere                   </w:t>
        <w:br/>
        <w:t xml:space="preserve">    occurring   in Paul’s   composition,    which    therefore   he  may   well,  in utter-                 </w:t>
        <w:br/>
        <w:t xml:space="preserve">    ing, have   thus  expressed.                                                                            </w:t>
        <w:br/>
        <w:t xml:space="preserve">       18.  Our    conclusion    from    this  examination      may    be   thus   stated:                  </w:t>
        <w:br/>
        <w:t xml:space="preserve">    (1)  That    in  all  cases   the  diction   of  the  speeches    was   more   or   less                </w:t>
        <w:br/>
        <w:t xml:space="preserve">    modified  by  Luke’s  hand.     (2)   That   they  are  not   in any   case  (as  soma                  </w:t>
        <w:br/>
        <w:t xml:space="preserve">    have   supposed)     composed    by  him   for   the  speaker,   but  were   really   in                </w:t>
        <w:br/>
        <w:t xml:space="preserve">    substance,   and   for   the  most   part   in   very  words,    uttered   as  written.                 </w:t>
        <w:br/>
        <w:t xml:space="preserve">    (3)  That    the  differences   apparent     in  the  greater    or  less  amount     of                </w:t>
        <w:br/>
        <w:t xml:space="preserve">    editorial  diction    in   different   speeches,   remarkably     correspond     to  the                </w:t>
        <w:br/>
        <w:t xml:space="preserve">    alleged  occasions   and   modes    of  their  delivery:—where        St. Paul   spoke                  </w:t>
        <w:br/>
        <w:t xml:space="preserve">    Hebrew,    hardly   any  traces   of  his  own   style being   discernible,—as     also                 </w:t>
        <w:br/>
        <w:t xml:space="preserve">    where   a short   compendium       only  of  his  speech    is given;    while  on  the                 </w:t>
        <w:br/>
        <w:t xml:space="preserve">    ether   hand   speeches    manifestly     reported   at   length   and   which    were                  </w:t>
        <w:br/>
        <w:t xml:space="preserve">    spoken   in Greek    originally,  are  full of  the  characteristic   peculiarities   of                </w:t>
        <w:br/>
        <w:t xml:space="preserve">    Paul  himself.                                                                                          </w:t>
        <w:br/>
        <w:t xml:space="preserve">       19.  For  many    other  interesting   particulars   connected   with   the sources                  </w:t>
        <w:br/>
        <w:t xml:space="preserve">    of  the  narrative   in  the   Acts,   I  refer  the   student   to  Dr.   Davidson’s                   </w:t>
        <w:br/>
        <w:t xml:space="preserve">    Introduction    to the  N.  T.  vol. ii.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IIL.                                                   </w:t>
        <w:br/>
        <w:t xml:space="preserve">      FOR   WHAT     READERS     AND    WITH    WHAT     OBJECT    IT  WAS    WRITTEN.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1. The    Gospel  of Luke    commences      with   a  preface   in  which    he  de-                 </w:t>
        <w:br/>
        <w:t xml:space="preserve">    clares  his  object  with   sufficient   precision.    Dedicating     it to his  friend                 </w:t>
        <w:br/>
        <w:t xml:space="preserve">    Theophilus,    he  describes   it as a record   of  “that   thou   mightest  know   the                 </w:t>
        <w:br/>
        <w:t xml:space="preserve">    certainty   of   those   things   wherein     thou   hast   been   instructed,’—and                     </w:t>
        <w:br/>
        <w:t xml:space="preserve">    asserts  his  purpose    in  writing   it  to  be, “those    things  which   are   most                 </w:t>
        <w:br/>
        <w:t xml:space="preserve">    surely  believed among    us.”   Now    there   can  be  little  question   that  both                  </w:t>
        <w:br/>
        <w:t xml:space="preserve">    these   descriptions    apply   to  the  Acts   also.    That   book    is introduced                   </w:t>
        <w:br/>
        <w:t xml:space="preserve">    without   preface,   as a  second  part   following    on   the  former    treatise:  a                 </w:t>
        <w:br/>
        <w:t xml:space="preserve">    “ second  treatise”   to the  Gospel.                                                                   </w:t>
        <w:br/>
        <w:t xml:space="preserve">       2. L  have  stated  with    regard   to  the  Gospel,  that  we  can   hardly   sup-                 </w:t>
        <w:br/>
        <w:t xml:space="preserve">    pose  Luke’s    design    to  have   confined    itself to  Theophilus,     but   must                  </w:t>
        <w:br/>
        <w:t xml:space="preserve">    believe  that  he  followed   the  common     practice  of  dedicating    his work   to                 </w:t>
        <w:br/>
        <w:t xml:space="preserve">             85]                              g  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