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INTRODUCTION.     ]           2  THESSALONIANS.                              [on.  rx.        </w:t>
        <w:br/>
        <w:t xml:space="preserve">                                                                                                            </w:t>
        <w:br/>
        <w:t xml:space="preserve">              altogether    wrong,   who    finds  here   any  more    thau   the  Apostle’s    sub-        </w:t>
        <w:br/>
        <w:t xml:space="preserve">              jective   anticipation   from  ‘his  own    historical   position,  of  the future  of        </w:t>
        <w:br/>
        <w:t xml:space="preserve">              the   Christian   Church    ;” and  expanded     by  Mr.  Jowett    (vol. ii. p. 178),        </w:t>
        <w:br/>
        <w:t xml:space="preserve">              “Such     passages   (Eph.   vi. 12)  are a  much   safer  guide  to the  interpreta-         </w:t>
        <w:br/>
        <w:t xml:space="preserve">              tion  of the one  we   are considering,    than  the meaning    of  similar  passages         </w:t>
        <w:br/>
        <w:t xml:space="preserve">              in the  Old   Testament.      For   they  indicate  to us  the  habitual  thought    of       </w:t>
        <w:br/>
        <w:t xml:space="preserve">              the  Apostle’s    mind:    ‘a  falling  away    first,’ suggested   probably   by  the        </w:t>
        <w:br/>
        <w:t xml:space="preserve">              wavering     which  he  saw  around   him  among    his own  converts,   the grievous         </w:t>
        <w:br/>
        <w:t xml:space="preserve">              wolves   that  were   entering   into  the  Church    of  Ephesus    (Acts   xx.  29):        </w:t>
        <w:br/>
        <w:t xml:space="preserve">              the   turning   away    of  all them   of Asia   (2  Tim.  i. 15),    When    we  con-        </w:t>
        <w:br/>
        <w:t xml:space="preserve">              sider  that  his  own   converts,   and   his  Jewish    opponents,     were   all the        </w:t>
        <w:br/>
        <w:t xml:space="preserve">              world   to him,—that      through   them,   as it were  in  a glass,  he appeared    to       </w:t>
        <w:br/>
        <w:t xml:space="preserve">              himself   to see  the  workings    of human     nature   generally,   we  understand          </w:t>
        <w:br/>
        <w:t xml:space="preserve">              how   this  double   image   of good   and  evil  should  have   presented   itself  to       </w:t>
        <w:br/>
        <w:t xml:space="preserve">              him,   and  the  kind  of necessity   which   he  felt, that Christ   and  Antichrist         </w:t>
        <w:br/>
        <w:t xml:space="preserve">              should    alternate  with   each   other.    It was   not   that  he   foresaw   some         </w:t>
        <w:br/>
        <w:t xml:space="preserve">              great   conflict,  decisive   of  the  destinies  of  mankind.      What    he  antici-       </w:t>
        <w:br/>
        <w:t xml:space="preserve">              pated   far  more    nearly   resembled    the   spiritual  combat    in the  seventh         </w:t>
        <w:br/>
        <w:t xml:space="preserve">              chapter   of  the  Romans.      It  was   the   same   struggle,   written   in  large        </w:t>
        <w:br/>
        <w:t xml:space="preserve">              letters,  as  Plato  might   have   said, not  on  the  tables  of the  heart,  but on        </w:t>
        <w:br/>
        <w:t xml:space="preserve">              the  scene   around:   the world   turned   inside  out, as  it might  be  described:         </w:t>
        <w:br/>
        <w:t xml:space="preserve">              evil  as it is in the sight of  God,  and   as it realizes  itself to the conscience,         </w:t>
        <w:br/>
        <w:t xml:space="preserve">              putting   on  an  external   shape,  transforming     itself into a person.”                  </w:t>
        <w:br/>
        <w:t xml:space="preserve">                 26.   This  hypothesis    is so entirely   separate  from   all others,  that there        </w:t>
        <w:br/>
        <w:t xml:space="preserve">              seems   no  reason   why   we  should   not  deal with   it at once  and  on  its own         </w:t>
        <w:br/>
        <w:t xml:space="preserve">              ground,   before   proceeding    further.    It will  be  manifest   to any  one  who         </w:t>
        <w:br/>
        <w:t xml:space="preserve">              exercises    a moment’s    thought,    that  the   question   moved    by   it simply         </w:t>
        <w:br/>
        <w:t xml:space="preserve">              resolves    itself into  this:   Was    the Apostle,  or was   he not, writing   in the       </w:t>
        <w:br/>
        <w:t xml:space="preserve">              power   of a  spirit higher  than  his  own?     In  other  words,    we  are  here  at       </w:t>
        <w:br/>
        <w:t xml:space="preserve">              the  very   central  question   of Inspiration   or  no Inspiration:    not disputing         </w:t>
        <w:br/>
        <w:t xml:space="preserve">               about  any  of  its details,  which   have  ever  been   matters   of doubt   among          </w:t>
        <w:br/>
        <w:t xml:space="preserve">               Christians:   but just  asking,   for the  Church    and  for the  world,  Have   we,        </w:t>
        <w:br/>
        <w:t xml:space="preserve">               in any   sense, God   speaking   in the Bible,  or  have   we  not?    If  we   have,        </w:t>
        <w:br/>
        <w:t xml:space="preserve">               then  of all passages,   it is in these  which   treat  so confidently   of futurity,        </w:t>
        <w:br/>
        <w:t xml:space="preserve">               that we   must  recognize    His  voice:   if we   have   it not in these  passages,         </w:t>
        <w:br/>
        <w:t xml:space="preserve">               then  where   are  we  to listen  for it at all?    Does  not  this  hypothesis,   do        </w:t>
        <w:br/>
        <w:t xml:space="preserve">               not they   who   embrace   it, at once  reduce   the  Scriptures   to books  written         </w:t>
        <w:br/>
        <w:t xml:space="preserve">               by  men,—their     declarations   to the  assertions  of dogmatizing     teachers,—          </w:t>
        <w:br/>
        <w:t xml:space="preserve">               their warnings     to the  apprehensions    of  excited   minds,—their      promises         </w:t>
        <w:br/>
        <w:t xml:space="preserve">               to  the  visions   of  enthusiasts,—their     prophecies    to anticipations   which         </w:t>
        <w:br/>
        <w:t xml:space="preserve">               may   be accounted    for by  the  circumstanees    of  the  writers,   but  have   in       </w:t>
        <w:br/>
        <w:t xml:space="preserve">               them   no objective   permanent    truth   whatever   ?                                      </w:t>
        <w:br/>
        <w:t xml:space="preserve">                  27.  On   such   terms,   I  fairly  confess  I am   not prepared    to deal  with        </w:t>
        <w:br/>
        <w:t xml:space="preserve">               a question   like  that  before   us.   I  believe   that  our   Lord   uttered   the        </w:t>
        <w:br/>
        <w:t xml:space="preserve">                       88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