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1]                       THEIR      AUTHORSHIP.                   [intRoDuCTION.                      </w:t>
        <w:br/>
        <w:t xml:space="preserve">                                                                                                            </w:t>
        <w:br/>
        <w:t xml:space="preserve">       2. But   we  must   notice  various   allusions,   more  or  less clear,  to  these                  </w:t>
        <w:br/>
        <w:t xml:space="preserve">    Epistles,  which    occur  in the  earlier  Fathers.                                                    </w:t>
        <w:br/>
        <w:t xml:space="preserve">       (g)  Crement      or  Rome     (end   of  Cent.   I.):  “Zet   us  then   approach                   </w:t>
        <w:br/>
        <w:t xml:space="preserve">          Him    in holiness   of  soul,  lifting up   chaste  and   undefiled   hands   to                 </w:t>
        <w:br/>
        <w:t xml:space="preserve">          Him.”     See  1  Tim.  ii. 8.                                                                    </w:t>
        <w:br/>
        <w:t xml:space="preserve">       (h)  Icnatius     (beginning    of  Cent.   IL):   “ Please    Him   for  whom    ye                 </w:t>
        <w:br/>
        <w:t xml:space="preserve">          serve in warfare.”      See  2 Tim.   ii. 4.                                                      </w:t>
        <w:br/>
        <w:t xml:space="preserve">       (@) Porycarr       (beginning    of  Cent.   Il.):  “But    the  beginning    of all                 </w:t>
        <w:br/>
        <w:t xml:space="preserve">          mischiefs   is the  love of  money.     Knowing     therefore  that  we  brought                  </w:t>
        <w:br/>
        <w:t xml:space="preserve">          nothing  into  the world,  and   neither  have  we  any  thing to carry  out, let                 </w:t>
        <w:br/>
        <w:t xml:space="preserve">          us arm   ourselves  with  the arms   of righteousness.”      1  Tim.  vi.  7, 10.                 </w:t>
        <w:br/>
        <w:t xml:space="preserve">          “ For  they  loved  not  this present  world.”    See  2  Tim.   iv. 10.                          </w:t>
        <w:br/>
        <w:t xml:space="preserve">       (&amp;)  Hecxstppus       (end  of  Cent.   IL),  as  cited by  Eusebius,    says  that,                 </w:t>
        <w:br/>
        <w:t xml:space="preserve">          while  the  holy  band  of  the Apostles   remained,    the  Church    remained                   </w:t>
        <w:br/>
        <w:t xml:space="preserve">          a pure  and  uncorrupt    virgin:   but  that, after  their  withdrawal,     and                  </w:t>
        <w:br/>
        <w:t xml:space="preserve">         that  of  those  who   had   been   ear-witnesses    of  inspired   wisdom,    the                 </w:t>
        <w:br/>
        <w:t xml:space="preserve">          system  of  godless  error   began,   through   the  fraud   of those  who  were                  </w:t>
        <w:br/>
        <w:t xml:space="preserve">         teachers     of strange    things:    who,   as  no Apostle    was   left, “with                   </w:t>
        <w:br/>
        <w:t xml:space="preserve">         uncovered     head  (i.e.  boldly,   unblushingly)     now    at length   took  in                 </w:t>
        <w:br/>
        <w:t xml:space="preserve">          hand   to  preach   knowledge      falsely   so  called   in  opposition   to the                 </w:t>
        <w:br/>
        <w:t xml:space="preserve">         preaching    of the truth.”    See  1 Tim.   vi. 3,  20.                                           </w:t>
        <w:br/>
        <w:t xml:space="preserve">       (2) Atuenacoras         (end   of  Cent.   IL):    “For     God   is  Himself    all                 </w:t>
        <w:br/>
        <w:t xml:space="preserve">          things  to Himself,  light   unapproachable.”         1 Tim.   vi. 16.                            </w:t>
        <w:br/>
        <w:t xml:space="preserve">       (m)  Tueormitus       or   AnriocH      (end   of  Cent.   ID.):   “And     besides,                 </w:t>
        <w:br/>
        <w:t xml:space="preserve">          respecting   subjection   to governments     and   authorities,   and   praying                   </w:t>
        <w:br/>
        <w:t xml:space="preserve">         for  them,  the divine  word   orders  us  that   we   may    lead  a quiet   and                  </w:t>
        <w:br/>
        <w:t xml:space="preserve">         peaceful    life.”   He   also  quotes   the  words,   the   font  of regenera-                    </w:t>
        <w:br/>
        <w:t xml:space="preserve">         tion.    1  Tim.  ii. 1,2.    Tit.  iii. 1.                                                        </w:t>
        <w:br/>
        <w:t xml:space="preserve">       (n)  To  these  may   be  added   Justin  Martyr    (middle   of  Cent.  II.), who                   </w:t>
        <w:br/>
        <w:t xml:space="preserve">          cites the  goodness   and   love  toward    man   of God.     Tit. iii. 4.                        </w:t>
        <w:br/>
        <w:t xml:space="preserve">       3. Thus    the  Pastoral    Epistles   seem   to  have    been  from   the  earliest                 </w:t>
        <w:br/>
        <w:t xml:space="preserve">    times   known,    and   continuously     quoted,   in  the   Church.     It  is hardly                  </w:t>
        <w:br/>
        <w:t xml:space="preserve">    possible  to suppose    that the  above   coincidences    are  all fortuitous.    The                   </w:t>
        <w:br/>
        <w:t xml:space="preserve">    only other   hypothesis   on  which   they  can  be accounted    for, will be  treated                  </w:t>
        <w:br/>
        <w:t xml:space="preserve">    further  on.                                                                                            </w:t>
        <w:br/>
        <w:t xml:space="preserve">      4.  Among     the  Gnostic   heretics,  however,    they  did not  meet  with   such                  </w:t>
        <w:br/>
        <w:t xml:space="preserve">    universal  acceptance.     Clement   of Alexandria,    after having   quoted    1 Tim.                  </w:t>
        <w:br/>
        <w:t xml:space="preserve">    vi. 20 ff, adds:    “Being    convicted   by  this  saying,  the   heretics  reject the                 </w:t>
        <w:br/>
        <w:t xml:space="preserve">    Epistles  to  Timothy.”      Tertullian   states  that  Marcion    rejected  from   his                 </w:t>
        <w:br/>
        <w:t xml:space="preserve">    canon   the  Epistles    to  Timothy     and  Titus.    And    Jerome,    in his  Pro-                  </w:t>
        <w:br/>
        <w:t xml:space="preserve">    logue  to  Titus,  complains    of  the  hereties,   that they,  besides   mutilating                   </w:t>
        <w:br/>
        <w:t xml:space="preserve">    the Scriptures   when    contrary  to  their tenets,  rejected   some   entire  books,                  </w:t>
        <w:br/>
        <w:t xml:space="preserve">    among   which    he  enumerates    both  Epistles   to Timothy    and  this  to Titus,                  </w:t>
        <w:br/>
        <w:t xml:space="preserve">    which   last, however,    was  received   by  Tatian,   one  of their  chiefs.                          </w:t>
        <w:br/>
        <w:t xml:space="preserve">            95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