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§1]                       THEIR      AUTHORSHIP.                   [1nTRODUCTION.                    </w:t>
        <w:br/>
        <w:t xml:space="preserve">                                                                                                            </w:t>
        <w:br/>
        <w:t xml:space="preserve">      by  the  Apostles,   in  their special  proclamation     of  the  Son  of God   in this               </w:t>
        <w:br/>
        <w:t xml:space="preserve">      character   ;—we    may   observe   that  St. Jude   introduces    it (in the genuine                 </w:t>
        <w:br/>
        <w:t xml:space="preserve">       text) with   the  limitation   “through   Jesus   Christ  our   Lord  ;”—but    in the               </w:t>
        <w:br/>
        <w:t xml:space="preserve">      familiar   writing   one  to another,  when    there  was  no  danger   of the  media-                </w:t>
        <w:br/>
        <w:t xml:space="preserve">       torship  of  Jesus   being   forgotten,   this  true and   noble  expression    seems                </w:t>
        <w:br/>
        <w:t xml:space="preserve">      still to have   been  usual  :—profane,     1 Tim.   i. 9; iv.  7; vi. 20:  2  Tim.   ii.             </w:t>
        <w:br/>
        <w:t xml:space="preserve">       16,—common       only  to Heb.   (xii. 16),—an     epithet   interesting,   as bring-                </w:t>
        <w:br/>
        <w:t xml:space="preserve">      ing  with   it the fact  of  the  progress   of  heresy   from  doctrine   to practice,               </w:t>
        <w:br/>
        <w:t xml:space="preserve">      as  also does  unholy,    1 Tim.   i. 9: 2 Tim.  iii. 2:—to   maintain    constantly,                 </w:t>
        <w:br/>
        <w:t xml:space="preserve">       1 Tim.    i. 7:  Tit.  iii, 8:—to     put  in  mind,    2  Tim.   ii. 14:  Tit.  iii, 1              </w:t>
        <w:br/>
        <w:t xml:space="preserve">      (2  Pet.  i. 12:  8 John    10:  Jude   5):—a    word    naturally   coming   into  use               </w:t>
        <w:br/>
        <w:t xml:space="preserve">      rather   as  time   drew   on,  than   “in   the  beginning    of the   Gospel   :”—to                </w:t>
        <w:br/>
        <w:t xml:space="preserve">      turn   away     from,   or  out of,  2 Tim.   iii. 5:  1 Tim.i.6;      v.15;    vi. 20:               </w:t>
        <w:br/>
        <w:t xml:space="preserve">      2  Tim.   iv. 4 (Heb.   xii. 13),—terms      owing   their   use  to  the  progress   of              </w:t>
        <w:br/>
        <w:t xml:space="preserve">      heresy;   which   may   be  said also  of the  term  to  miss  the  aim,   1 Tim.  i. 6;              </w:t>
        <w:br/>
        <w:t xml:space="preserve">      vi. 21:   2  Tim.  ii. 18,—and     to  be  besotted    with   pride,   1  Tim.   iii. 6;              </w:t>
        <w:br/>
        <w:t xml:space="preserve">      vi. 4:   2 Tim.   iii.  4:—é&amp;e.  &amp;e.                                                                  </w:t>
        <w:br/>
        <w:t xml:space="preserve">         85.   There   seems    no  reason   why    any  of   the  above   peculiarities    of              </w:t>
        <w:br/>
        <w:t xml:space="preserve">      diction   should    be  considered    as  imperilling     the  authenticity     of  our               </w:t>
        <w:br/>
        <w:t xml:space="preserve">      Epistles.     The   preceding    paragraph     will  have   shewn,   that  of many    of              </w:t>
        <w:br/>
        <w:t xml:space="preserve">      them,   some   account   at  least  may   be  given:   and   when    we   reflect  how                </w:t>
        <w:br/>
        <w:t xml:space="preserve">      very   little we  know   of the  circumstances     under   which    they   were   used,               </w:t>
        <w:br/>
        <w:t xml:space="preserve">      it appears   far more   the   part  of  sound    criticism  to  let  such   difficulties              </w:t>
        <w:br/>
        <w:t xml:space="preserve">      stand   unsolved,   under   a sense  that  we   have  not  the  clue   to  them,   than               </w:t>
        <w:br/>
        <w:t xml:space="preserve">      at  once  and   rashly  to  pronounce     on  them,   as  indicative   of  a  spurious                </w:t>
        <w:br/>
        <w:t xml:space="preserve">      origin.                                                                                               </w:t>
        <w:br/>
        <w:t xml:space="preserve">         36.  Another     objection   brought    by   De   Wette    against    our  Epistles                </w:t>
        <w:br/>
        <w:t xml:space="preserve">      seems   to  me  to make   so strikingly   and  decisively  for  them,   that  I cannot                </w:t>
        <w:br/>
        <w:t xml:space="preserve">      forbear   giving   it in his own   words   before  commenting      upon   it: “In   the               </w:t>
        <w:br/>
        <w:t xml:space="preserve">      composition    of all three  Epistles   we  have  this  common    peculiarity,—that                   </w:t>
        <w:br/>
        <w:t xml:space="preserve">      from   that  which   belongs   to the  object  of  the  Epistle,   and  is besides   for              </w:t>
        <w:br/>
        <w:t xml:space="preserve">       the most   part  of general   import,  the  writer   is ever   given   to  digress   to              </w:t>
        <w:br/>
        <w:t xml:space="preserve">      general    truths,  or  so-called   common-places       (1  Tim.    i. 15;   ii. 4—6;                 </w:t>
        <w:br/>
        <w:t xml:space="preserve">      iii, 16;  iv. 8—10:     2  Tim.   i. 9 f.; ii, 11—18,    19—21;      iii. 12, 16:  Tit.               </w:t>
        <w:br/>
        <w:t xml:space="preserve">      ii, 11—14;     iii, 3—7),    and  that  even  that  which    is said by  way   of  con-               </w:t>
        <w:br/>
        <w:t xml:space="preserve">      tradiction   or  enforcing   attention,  appears   in this  form   (1 Tim.   i. 8—10;                 </w:t>
        <w:br/>
        <w:t xml:space="preserve">      iv.  4  f.;  vi. 6—10:      2 Tim.   ii. 4—6:    Tit.  i. 15).   With    this  is com-                </w:t>
        <w:br/>
        <w:t xml:space="preserve">      bined   another   peculiarity   common     to them,   that  after   such   digressions                </w:t>
        <w:br/>
        <w:t xml:space="preserve">      or  general   instructions,   the  writer’s   practice   is to  recur,   or  finally  to              </w:t>
        <w:br/>
        <w:t xml:space="preserve">      appeal   to and   fall back  on  previous   exhortations    or instructions   given   to              </w:t>
        <w:br/>
        <w:t xml:space="preserve">      his  correspondent      (1 Tim.   iii. 14 f.;  iv. 6, 11;   vi. 2,5   {ree.]:   2 Tim.                </w:t>
        <w:br/>
        <w:t xml:space="preserve">      ii. 7, 145   iii, 5: Tit. ii, 15;   iii. 8).”  In  commenting      on   this, I would                 </w:t>
        <w:br/>
        <w:t xml:space="preserve">      ask,  what   could  be  more   natural  than   both  these  phenomena,      under   the               </w:t>
        <w:br/>
        <w:t xml:space="preserve">      circumstances,     supposing    St. Paul   their author?      Is it not  the tendency                 </w:t>
        <w:br/>
        <w:t xml:space="preserve">               105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