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cn.  x1]                          1  TIMOTHY.                       [wrropucrioy.                         </w:t>
        <w:br/>
        <w:t xml:space="preserve">                                                                                                            </w:t>
        <w:br/>
        <w:t xml:space="preserve">  arrival  at Nicopolis.     And    he  writes  from   this his prison,   expecting   his                   </w:t>
        <w:br/>
        <w:t xml:space="preserve">  execution   (“for   I am   now   being poured   out,  and  the time  of my   departure                    </w:t>
        <w:br/>
        <w:t xml:space="preserve">  is at hand,”   2  Tim.   iv. 6).                                                                          </w:t>
        <w:br/>
        <w:t xml:space="preserve">     33.  We   hear,  2  Tim.  iv.  16, 17,  of  his  being   brought    up  before   the                   </w:t>
        <w:br/>
        <w:t xml:space="preserve">  authorities,   and  making    his  defence.    If  in  the  last  year  of  Nero,   the                   </w:t>
        <w:br/>
        <w:t xml:space="preserve">  Emperor     was  absent   in Greece,   and   did not  try  him   in person.    To  this                   </w:t>
        <w:br/>
        <w:t xml:space="preserve">  may   perhaps   point   the  “having    suffered  martyrdom      under   the princes”                     </w:t>
        <w:br/>
        <w:t xml:space="preserve">  of  Clement    of Rome    (see  above,   par.  20):   but   it would   be  manifestly                     </w:t>
        <w:br/>
        <w:t xml:space="preserve">  unwise    to  press  an   expression    in so  rhetorical  a  passage.    At   this his                   </w:t>
        <w:br/>
        <w:t xml:space="preserve">  hearing,   none   of  his  friends   was   bold   enough    to  appear   with    or  for                  </w:t>
        <w:br/>
        <w:t xml:space="preserve">  him:   but   his  Christian    boldness   was   sustained    by  Him    in  whom     he                   </w:t>
        <w:br/>
        <w:t xml:space="preserve">  trusted.                                                                                                  </w:t>
        <w:br/>
        <w:t xml:space="preserve">     34,  The   second   Epistle  to  Timothy    dates  after  this  his  first apology.                    </w:t>
        <w:br/>
        <w:t xml:space="preserve">  How    long   after,  we   cannot    say:   probably    some    little time,   for  the                   </w:t>
        <w:br/>
        <w:t xml:space="preserve">  expression    does  not  seem  to  allude  to a very   recent occurrence.                                 </w:t>
        <w:br/>
        <w:t xml:space="preserve">     35.  After   this, all is obscurity.    That   he  underwent    execution    by  the                   </w:t>
        <w:br/>
        <w:t xml:space="preserve">  sword,   is the  constant   tradition  of  antiquity,   and  would    agree   with  the                   </w:t>
        <w:br/>
        <w:t xml:space="preserve">  fact of  his  Roman    citizenship,   which   would    exempt    him   from  death   by                   </w:t>
        <w:br/>
        <w:t xml:space="preserve">  torture.    We    have   seen  reason    (above,  par.  26)  to  place   his death    in                  </w:t>
        <w:br/>
        <w:t xml:space="preserve">  the  last year   of  Nero,   i.e. late  in  A.D. 67,  or  A.D.  68.    And    we   may                    </w:t>
        <w:br/>
        <w:t xml:space="preserve">  well  place  the  second   Epistle   to Timothy     a few   months    at  most  before                    </w:t>
        <w:br/>
        <w:t xml:space="preserve">  his death’.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CHAPTER             XI.                                                    </w:t>
        <w:br/>
        <w:t xml:space="preserve">                        THE   FIRST    EPISTLE     TO  TIMOTHY.             0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Tue   AvrnorsHir,       and   Time    anp   PLace     or  Writine,      have   been                    </w:t>
        <w:br/>
        <w:t xml:space="preserve">  already   discussed:    and   much    has   been   said  on  the  style   and  diction                    </w:t>
        <w:br/>
        <w:t xml:space="preserve">  of this  in common     with   the   other  Pastoral    Epistles.    It  only  remains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7 One  objection which is brought against  the view  taken  above of the  date of the                   </w:t>
        <w:br/>
        <w:t xml:space="preserve"> Pastoral  Epistles, is drawn  from  1 Tim. iv. 12, “Let  no one despise thy youth.”    It                  </w:t>
        <w:br/>
        <w:t xml:space="preserve"> is argued  by  Dr.  Davidson,  that supposing  Timothy   to have  been twenty  when  the                   </w:t>
        <w:br/>
        <w:t xml:space="preserve"> Apostle  first     him for his companion,—at   the date which  we  have assigned  to the                   </w:t>
        <w:br/>
        <w:t xml:space="preserve"> first Epistle, he would  not  be less than thirty-four or  thirty-five when  the Epistle                   </w:t>
        <w:br/>
        <w:t xml:space="preserve"> was  written;  ‘an age,”  adds Dr. Davidson,  “at  which  it was not likely he should be                   </w:t>
        <w:br/>
        <w:t xml:space="preserve"> despised for his youth.”  But  surely such an age would  be a very early one at which to                   </w:t>
        <w:br/>
        <w:t xml:space="preserve"> be set over such a Church  as  that of Ephesus:   and at  such an  age, an  ecclesiastical                 </w:t>
        <w:br/>
        <w:t xml:space="preserve"> officer whose duty  was to rebuke elders, unless he comported  himself  with irreproach-                   </w:t>
        <w:br/>
        <w:t xml:space="preserve"> able modesty   and  gravity, would  be exceedingly liable to be slighted and set aside for                 </w:t>
        <w:br/>
        <w:t xml:space="preserve"> his youth.   The caution  seems to me quite to stand in its place, and to furnish no valid                 </w:t>
        <w:br/>
        <w:t xml:space="preserve"> objection whatever  to our view.                                                                           </w:t>
        <w:br/>
        <w:t xml:space="preserve">          119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