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§ u.]                 OCCASION          AND     OBJECT.            [syrropuction.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connected     with   him,  he   might   well  state  this  (again    with  a  but)   re-               </w:t>
        <w:br/>
        <w:t xml:space="preserve">     specting   Trophimus,     though    the  fact of  his remaining    at Miletus    might                 </w:t>
        <w:br/>
        <w:t xml:space="preserve">     be  well  known    to  Timothy,    and   his own    profession   of  sickness   as  the                </w:t>
        <w:br/>
        <w:t xml:space="preserve">     reason.                                                                                                </w:t>
        <w:br/>
        <w:t xml:space="preserve">        6.  There   is a  very  slight  hint  indeed   given   in ch.  iv. 11,  which   may                 </w:t>
        <w:br/>
        <w:t xml:space="preserve">     point   the  same   way.     Timothy    was   to take   up  Mark   and   bring  him   to               </w:t>
        <w:br/>
        <w:t xml:space="preserve">     Rome..     The   last notice  we  have   had  of Mark,    was  a recommendation       of               </w:t>
        <w:br/>
        <w:t xml:space="preserve">     him   to the   Colossian   Church     (Col.  iv. 10),  aud  that  ina   strain,  which                 </w:t>
        <w:br/>
        <w:t xml:space="preserve">     may   import   that  he  was  to  be  a resident   labourer    in the  Gospel   among                  </w:t>
        <w:br/>
        <w:t xml:space="preserve">     them.      If Mark     was   at  Colossw,    he  might    be  easily   sent  for  from                 </w:t>
        <w:br/>
        <w:t xml:space="preserve">     Ephesus     to accompany     Timothy.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SECTION        II.                                                  </w:t>
        <w:br/>
        <w:t xml:space="preserve">                                   OCCASION     AND   OBJECT.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1. It only   remains    to enquire    respecting    this  Epistle,  what    special                </w:t>
        <w:br/>
        <w:t xml:space="preserve">      circumstances    occasioned    it, and  what   objects  are  discernible   in it.                     </w:t>
        <w:br/>
        <w:t xml:space="preserve">        2.  The   immediately     moving    occasion  seems   to have   been  one  personal                 </w:t>
        <w:br/>
        <w:t xml:space="preserve">      to the  Apostle    himself.    He   was   anxious    that   Timothy     should   come                 </w:t>
        <w:br/>
        <w:t xml:space="preserve">      to him  at  Rome,   bringing    with  him   Mark,   as  soon  as  possible  (ch.  i. 4;               </w:t>
        <w:br/>
        <w:t xml:space="preserve">     iy.  9, 11,  21).                                                                                      </w:t>
        <w:br/>
        <w:t xml:space="preserve">        8.  But   he was    uncertain   how   it might   be  with   himself:   whether    he                </w:t>
        <w:br/>
        <w:t xml:space="preserve">      should  live  to  see his  child  in  the faith,  or be   “offered   up”   before   his               </w:t>
        <w:br/>
        <w:t xml:space="preserve">     arrival.    He   sends  to  him  therefore,   not  merely   a message    to  come,  but                </w:t>
        <w:br/>
        <w:t xml:space="preserve">     a  letter full of  fatherly   exhortations    and   instructions,   applicable   to  his               </w:t>
        <w:br/>
        <w:t xml:space="preserve">      present   circumstances.      And    these   seem   not  to  have   been   unneeded.                  </w:t>
        <w:br/>
        <w:t xml:space="preserve">      Many    of his former   friends   had  forsaken   him   (ch.i.15;    iv. 10), and  the                </w:t>
        <w:br/>
        <w:t xml:space="preserve">      courage    and  perseverance     of  Timothy     himself   appeared     to be   giving                </w:t>
        <w:br/>
        <w:t xml:space="preserve">     way    (sce   above,   Introd.   to  1  Tim.   §  i. 9).   The    letter  therefore   is               </w:t>
        <w:br/>
        <w:t xml:space="preserve">      calculated   in  some    measure     to  supply    what   his  own    mouth    would,                 </w:t>
        <w:br/>
        <w:t xml:space="preserve">      if he  were   permitted    to speak   to  him  face   to face,  still more  fervently                 </w:t>
        <w:br/>
        <w:t xml:space="preserve">      urge  on  him.    And   thus   we   possess   an  Epistle   calculated   for  all ages                </w:t>
        <w:br/>
        <w:t xml:space="preserve">     of  the  Church:     in which    while   the  maxims     cited  and  encouragements                    </w:t>
        <w:br/>
        <w:t xml:space="preserve">     given   apply   to all Christians,   and  especially   ministers   of Christ,   in their               </w:t>
        <w:br/>
        <w:t xml:space="preserve">     duties   and  difFsulties,—the     affecting  circumstances,     in which   the  writer                </w:t>
        <w:br/>
        <w:t xml:space="preserve">     himself   is pla:  :d, carry  home   to every   heart  his  earnest  and  impassioned                  </w:t>
        <w:br/>
        <w:t xml:space="preserve">     eloquence.                                                                                             </w:t>
        <w:br/>
        <w:t xml:space="preserve">        4.  For   further   notices,  I again   refer  to Dr.  Davidson,    vol. iii. pp. 48                </w:t>
        <w:br/>
        <w:t xml:space="preserve">     75.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125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