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INTRODUCTION.      ]     THE     EPISTLE        TO    TITUS.                (cH.  xm.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CHAPTER            XIII.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THE   EPISTLE    TO   TITUS.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SECTION        I.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TO    WHOM     WRITTEN.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1,  Tue   time  and  place  of  writing   this  Epistle   have   been  before   dis-         </w:t>
        <w:br/>
        <w:t xml:space="preserve">            cussed   (see   above,  ch.  x. §  ii. 29 f.).   It  appears    to have    been   sent          </w:t>
        <w:br/>
        <w:t xml:space="preserve">            from   Ephesus,    or perhaps   from   Macedonia,    during    the  last year  of  the          </w:t>
        <w:br/>
        <w:t xml:space="preserve">            Apostle’s    life (a.p.   67), to  Titus,   who   was    left in  charge    with   the          </w:t>
        <w:br/>
        <w:t xml:space="preserve">            Churches    in  the   island  of Crete.    We   shall  now   gather   up  the  notices          </w:t>
        <w:br/>
        <w:t xml:space="preserve">            which   remain   to us  respecting   Titus   himself.                                           </w:t>
        <w:br/>
        <w:t xml:space="preserve">               2. It  is by  no means    easy  to construct   an  account   of  Titus.    At  first         </w:t>
        <w:br/>
        <w:t xml:space="preserve">            sight  a strange   phenomenon      presents   itself.   The  narrative   in the  Acts           </w:t>
        <w:br/>
        <w:t xml:space="preserve">            never   once   mentions    him.    And    this is the  more   remarkable,     because           </w:t>
        <w:br/>
        <w:t xml:space="preserve">            of all the  companions     of St. Paul   he  seems  to have   been  the  most  valued           </w:t>
        <w:br/>
        <w:t xml:space="preserve">            and  trusted.    No   adequate    reason  has  ever  been  given   for this omission.           </w:t>
        <w:br/>
        <w:t xml:space="preserve">            There   must   be  some,  it is thought,   which   we  cannot  penetrate.     Was   he          </w:t>
        <w:br/>
        <w:t xml:space="preserve">            identical  with   some  one  or  other  of St.  Paul’s  companions,     known    to us          </w:t>
        <w:br/>
        <w:t xml:space="preserve">            in the  Acts   under  another   name   ?  None   seems   to  satisfy the  conditions.           </w:t>
        <w:br/>
        <w:t xml:space="preserve">            Or  are  we  to regard   the  notice  in 2 Tim.   iv. 10  as indicative   of his  ulti-         </w:t>
        <w:br/>
        <w:t xml:space="preserve">            mate   desertion   of  the   Apostle,  and   thus  to   seek  for  a solution  of  the          </w:t>
        <w:br/>
        <w:t xml:space="preserve">            problem?     But    even   with   such  a supposition,    we  shall   not  touch   the          </w:t>
        <w:br/>
        <w:t xml:space="preserve">            narrative   of  the Acts,   which   we  believe   to have    been   published    some           </w:t>
        <w:br/>
        <w:t xml:space="preserve">            years   previous   to  the   writing    of that   Epistle.    So  that   we  must   be          </w:t>
        <w:br/>
        <w:t xml:space="preserve">            content   to  leave   the  problem    unsolved,   and    to put   together   the  few           </w:t>
        <w:br/>
        <w:t xml:space="preserve">            notices  which   we   possess,  as given   of  a person   distinct  from   any   men-           </w:t>
        <w:br/>
        <w:t xml:space="preserve">            tioned  in the  Acts.                                                                           </w:t>
        <w:br/>
        <w:t xml:space="preserve">               8. The   first notice  of  Titus,  in respect  of  time,  occurs  in  Gal. ii. 1, 3.         </w:t>
        <w:br/>
        <w:t xml:space="preserve">            We    there  learn  that he  was   of  Gentile   origin:  and   that  he  was   taken           </w:t>
        <w:br/>
        <w:t xml:space="preserve">            by  Paul  and  Barnabas     to the  council  of  the  Apostles    and  elders  which            </w:t>
        <w:br/>
        <w:t xml:space="preserve">            was  convened    at  Jerusalem    to consider   of the  question   of the  obligation           </w:t>
        <w:br/>
        <w:t xml:space="preserve">            of  the Mosaic    law.   The   narrative   in the  Acts   speaks  merely   of  “ some           </w:t>
        <w:br/>
        <w:t xml:space="preserve">            others”  being   sent  with  the  two  Apostles.    But  we  see  clearly the  reason           </w:t>
        <w:br/>
        <w:t xml:space="preserve">            why   Titus  should   be  marked    out  in Gal.  ii. for separate    mention.     He           </w:t>
        <w:br/>
        <w:t xml:space="preserve">            was   an  uncircumcised      Gentile,  and   the  independence     of  action  of  St.          </w:t>
        <w:br/>
        <w:t xml:space="preserve">            Paul  is shewn    by  his  refusing   to  listen  for  a moment     to the  proposal,           </w:t>
        <w:br/>
        <w:t xml:space="preserve">            which   appears   to have   been   urged,  for  his cireumcision.     In   the  Acts,           </w:t>
        <w:br/>
        <w:t xml:space="preserve">            no  such  reason   for special  mention   of  him  existed.   And    this considera-            </w:t>
        <w:br/>
        <w:t xml:space="preserve">            tion will  shew,  that  we  are  perhaps    not  justified  in assuming    from   this          </w:t>
        <w:br/>
        <w:t xml:space="preserve">            incident  that  Titus  held  any   position  of  high  confidence   or  trust at  this          </w:t>
        <w:br/>
        <w:t xml:space="preserve">                     126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