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ROMANS.                                           3                </w:t>
        <w:br/>
        <w:t xml:space="preserve">    2—5.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AUTHORIZED       VERSION    REVISED.                                   </w:t>
        <w:br/>
        <w:t xml:space="preserve">    clared  to  be the  Son  of  |the  Spirit  of  holiness,   by  the   resur=                             </w:t>
        <w:br/>
        <w:t xml:space="preserve">    God  with power, according   rection   of the  dead,  even   Jesus  Christ                              </w:t>
        <w:br/>
        <w:t xml:space="preserve">    to the  Spirit of  holiness, our  Lord;    5                                                            </w:t>
        <w:br/>
        <w:t xml:space="preserve">    by the resurrection     the  ceived    grace  through apostleship, we unto   ¢1¢or                      </w:t>
        <w:br/>
        <w:t xml:space="preserve">    dead:  * by whom   we  have                                                     ‘phy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Christ,  keeping  His  Son  as  the  great   seem  to wish to include the notion of sane-               </w:t>
        <w:br/>
        <w:t xml:space="preserve">    subject of both  clauses, and thus making     tifying in the term holiness, which, how-                 </w:t>
        <w:br/>
        <w:t xml:space="preserve">    them,  not  contrasts to one  another, but   ever  true, is     than  strictly belongs to               </w:t>
        <w:br/>
        <w:t xml:space="preserve">    correlative parts of the same great whole.    the words.         by]  as indicating  the                </w:t>
        <w:br/>
        <w:t xml:space="preserve">    And   (2) the  Apostle, dwelling  here  on   source,  out of which   the  demonstration                 </w:t>
        <w:br/>
        <w:t xml:space="preserve">    patent facts,—the  announcements   of  pro-  proceeds.         the resurrection  of  the                </w:t>
        <w:br/>
        <w:t xml:space="preserve">    pliecy,—the  history  of  the Lord’s   Hu-   dead]  not,  “the  resurrection from    the                </w:t>
        <w:br/>
        <w:t xml:space="preserve">    manity, does  not deal with  the  essential  dead,”’—which,  besides  that it is not the                </w:t>
        <w:br/>
        <w:t xml:space="preserve">    subsistent  Godhead   of Christ, but  with   rendering   of the words   of the  original,               </w:t>
        <w:br/>
        <w:t xml:space="preserve">    that manifestation   of it which the great   would  be  a weakening   of the strong  ex~                </w:t>
        <w:br/>
        <w:t xml:space="preserve">    fact of the Resurrection had made  to men.   pression  of the Apostle,  who  takes  here                </w:t>
        <w:br/>
        <w:t xml:space="preserve">    Also (3) by amplifying the  Spirit into the  summarily   and   by  anticipation the Re-                 </w:t>
        <w:br/>
        <w:t xml:space="preserve">    Spirit of  holiness, he  characterizes the   surrection  of Jesus  as  being, including,                </w:t>
        <w:br/>
        <w:t xml:space="preserve">    Spirit of Christ as one of        holiness,  involving  (“ Iam  the Resurrection,’ John                 </w:t>
        <w:br/>
        <w:t xml:space="preserve">    i.e.as divine, and partaking  of the  God-   xi. 25)  the  (whole) Resurrection   of the                </w:t>
        <w:br/>
        <w:t xml:space="preserve">    head : see below.       with  power]  This   dead.   So  that we   must  not  render  as                </w:t>
        <w:br/>
        <w:t xml:space="preserve">    qualifying clause belongs to declared,—not   A. V.  “the  resurrection from  the dead,”                 </w:t>
        <w:br/>
        <w:t xml:space="preserve">    to  the words   “the  Son  of  God,”—nor     but the resurrection  of the dead, regarded                </w:t>
        <w:br/>
        <w:t xml:space="preserve">    again is it a parallel      to “according    as accomplished  in that of Christ. It was                 </w:t>
        <w:br/>
        <w:t xml:space="preserve">    to the Spirit of holiness,” to “by  the re-  the  full accomplishment   of  this, which                 </w:t>
        <w:br/>
        <w:t xml:space="preserve">    surrection,” &amp;c.  (as St. Chrysostom, who    more  than any  thing declared  Him  to  be                </w:t>
        <w:br/>
        <w:t xml:space="preserve">    interprets it “by  means   of the miracles   the  Son  of  God:   see John   v. 25—29.                  </w:t>
        <w:br/>
        <w:t xml:space="preserve">    which  He  did”), manifested  with  power    Thus  in these words  lies wrapped  up  the                </w:t>
        <w:br/>
        <w:t xml:space="preserve">    (to be) the  Son  of God.  The   rendering   argument   of ch. vi. ff.      even  Jesus                 </w:t>
        <w:br/>
        <w:t xml:space="preserve">    then is, which was  with  power   declared   Christ  our  Lord]   This is the  place  of                </w:t>
        <w:br/>
        <w:t xml:space="preserve">    to be the  Son  of God.          declared]   these  words  in the  original, aud to this                </w:t>
        <w:br/>
        <w:t xml:space="preserve">    before men.   It is not  the objective ap-   place  they ought   to be  kept.   For the                 </w:t>
        <w:br/>
        <w:t xml:space="preserve">    pointment  of Christ as the   of God, that.  Apostle   having   given  this  description                </w:t>
        <w:br/>
        <w:t xml:space="preserve">    is spoken of, but the subjective manifesta-  of  the Person  and   dignity  of the  Son                 </w:t>
        <w:br/>
        <w:t xml:space="preserve">    tion in men’s  minds   that He  is so: not   of  God,  very  Man  and   very God,  now                  </w:t>
        <w:br/>
        <w:t xml:space="preserve">    of Christ’s being what  He   is, but of the  identifies this divine Person with  Jesus                  </w:t>
        <w:br/>
        <w:t xml:space="preserve">    proof  of that fact by  His  Resurrection.   Curist,   the Lord  and  Master  of Chris-                 </w:t>
        <w:br/>
        <w:t xml:space="preserve">             according  to the Spirit  of holi-  tians,—the  historical object of their                     </w:t>
        <w:br/>
        <w:t xml:space="preserve">    ness] The   Spirit of holiness is not equi-  and  (see words  following) the  Appointer                 </w:t>
        <w:br/>
        <w:t xml:space="preserve">    valent to “the  Holy  Spirit :” this         of  himself to the  apostolic office.                      </w:t>
        <w:br/>
        <w:t xml:space="preserve">    would  be inapplicable  here, for it would   5. through   whom]    As  in Gal.  i. 1; 1                 </w:t>
        <w:br/>
        <w:t xml:space="preserve">    point out the Third  Person in the Blessed   Cor. i. 9, designating the Lord Himself as                 </w:t>
        <w:br/>
        <w:t xml:space="preserve">    Trinity, whereas it is the Spirit of Christ  the  Agent  in  conferring the  grace  and                 </w:t>
        <w:br/>
        <w:t xml:space="preserve">    Himself,  in distinction from  His  Flesh,   Apostleship.       we  received]  not ‘all                 </w:t>
        <w:br/>
        <w:t xml:space="preserve">    which  is spoken  of.  And   this Spirit is  Christians, —but  we,  the Apostle himself                 </w:t>
        <w:br/>
        <w:t xml:space="preserve">    designated by the gen. of quality, of holi-  as he not unfrequently speaks.   No others                 </w:t>
        <w:br/>
        <w:t xml:space="preserve">    ness, to shew that it is not a human,  but   need be here included in the word.   Those                 </w:t>
        <w:br/>
        <w:t xml:space="preserve">    a divine Spirit which is attributed here to  to  whom   he is writing  cannot  be  thus                 </w:t>
        <w:br/>
        <w:t xml:space="preserve">    Christ,—a  Spirit to which holiness belongs  included, for they are specially contrasted                </w:t>
        <w:br/>
        <w:t xml:space="preserve">    as its essence. The  other  interpretations  with the subject of the  verb received  by                 </w:t>
        <w:br/>
        <w:t xml:space="preserve">    certainly miss  the mark,  by  overlooking   the  following verse.  Nor  can  this verb                 </w:t>
        <w:br/>
        <w:t xml:space="preserve">    the  terms, according   to  the flesh  and B2 received (not,   A. V., “have  received”)                 </w:t>
        <w:br/>
        <w:t xml:space="preserve">    according  to the  Spirit, the two sides of  refer to any general bestowal of this kind,                </w:t>
        <w:br/>
        <w:t xml:space="preserve">    the Person of  Christ here  intended to be   indicating, as it     a definite past                      </w:t>
        <w:br/>
        <w:t xml:space="preserve">    brought  out.  Such are that of Theodoret :  viz. the reception  of the Apostleship  by                 </w:t>
        <w:br/>
        <w:t xml:space="preserve">    «through   the might  wrought  in Him   by   himself.       grace]  It is hardly  to be                 </w:t>
        <w:br/>
        <w:t xml:space="preserve">    means  of the Holy  Spirit,”— Chrysostom  :  understood,  as  Augustine  explains, that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