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IV.   1.                             ROMANS.                                          29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AUTHORIZED      VERSION,         AUTHORIZED       VERSION     REVISED.                                </w:t>
        <w:br/>
        <w:t xml:space="preserve">      of   the  Gentiles   also:   is he  not  also  of  the  Gentiles?      Yes,                           </w:t>
        <w:br/>
        <w:t xml:space="preserve">      80 seeing it  is one  God,   of  the  Gentiles    also:    39 seeing   that                           </w:t>
        <w:br/>
        <w:t xml:space="preserve">      which shall justify the cir- ° God   is  one,  which    shall  justify   the  °¢                      </w:t>
        <w:br/>
        <w:t xml:space="preserve">      cumcision by faith, and un-  circumcision      by   faith,  and   the   un-                           </w:t>
        <w:br/>
        <w:t xml:space="preserve">      circumeision through faith.  cireumcision      through     faith.                                     </w:t>
        <w:br/>
        <w:t xml:space="preserve">      31 Do  we  then make   void  we  then    make   void   the   law  through Do                          </w:t>
        <w:br/>
        <w:t xml:space="preserve">      the  law   through  faith?   faith  ?  God     forbid:    nay,   we    esta-                          </w:t>
        <w:br/>
        <w:t xml:space="preserve">      God  forbid : yea, we esta-  blish  the  law.                                                         </w:t>
        <w:br/>
        <w:t xml:space="preserve">      blish the law.                  IV.    1 What      then    shall   we    say                          </w:t>
        <w:br/>
        <w:t xml:space="preserve">        IV.   } What shall we say                                                                           </w:t>
        <w:br/>
        <w:t xml:space="preserve">      then  that  Abraham     our                                                                           </w:t>
        <w:br/>
        <w:t xml:space="preserve">     Sather, as pertaining to the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Jewish boasting  is excluded, St. Paul pur-   safely say that the Apostle never argues of             </w:t>
        <w:br/>
        <w:t xml:space="preserve">      poses to take*the ground  of their own law,   law, abstract, in the sense of @ system  of             </w:t>
        <w:br/>
        <w:t xml:space="preserve">      and  demonstrate  it from  that.   He  will  precepts,—its   attributes or  its eflects,—             </w:t>
        <w:br/>
        <w:t xml:space="preserve">      shew  that God   is not (the God)  of Jews    but  always  of THE   Law,   conerete,—the              </w:t>
        <w:br/>
        <w:t xml:space="preserve">      alone, but of Gentiles, and that  this very   law of God  given by Moses,  when speaking              </w:t>
        <w:br/>
        <w:t xml:space="preserve">      point was   involved in the promise   made    of the Jews, as here: the  law of  God,  in             </w:t>
        <w:br/>
        <w:t xml:space="preserve">      to Abraham,   by  believing which  he  was    as faras written in their consciences, when             </w:t>
        <w:br/>
        <w:t xml:space="preserve">     justified  (ch. iv.), and therefore  that it   speaking  of the  Gentiles:  and when   in-             </w:t>
        <w:br/>
        <w:t xml:space="preserve">      lies in the very root and kernel of the law   cluding  both, the law  of  God  generally,             </w:t>
        <w:br/>
        <w:t xml:space="preserve">      itself. But, as often  elsewhere, he passes   His written as well as His  unwritten  will.            </w:t>
        <w:br/>
        <w:t xml:space="preserve">      off from  this idea  again and  again,  re-   —Many     Commentators    have  taken  this             </w:t>
        <w:br/>
        <w:t xml:space="preserve">      curring  to it however   continually,—and     verse (being  misled in  some  eases by its             </w:t>
        <w:br/>
        <w:t xml:space="preserve">      eventually  when   he  brings forward   his   place at the end of the         as standing             </w:t>
        <w:br/>
        <w:t xml:space="preserve">      proof text  (in chap.  iv. 17), Abraham's     by itself,    have  gone  into the abstract             </w:t>
        <w:br/>
        <w:t xml:space="preserve">     faith,  and  not this fact, has become   the   grounds  why  faith,does not make void  the             </w:t>
        <w:br/>
        <w:t xml:space="preserve">      leading subject.     30  seeing that]  lite-  law (or moral  obedience) ; which, however              </w:t>
        <w:br/>
        <w:t xml:space="preserve">      rally, if  least (if  are to hold to what is  true, have no place here:  the design being             </w:t>
        <w:br/>
        <w:t xml:space="preserve">      manifest  as a  result of our former  argu-   to shew that the  law itself contained this             </w:t>
        <w:br/>
        <w:t xml:space="preserve">      ment)  God is one, which  shall justify the   very doctrine, and was  founded in the pro-             </w:t>
        <w:br/>
        <w:t xml:space="preserve">      circumcision  (literally,   Jews, after the   mise to Abraham   on a covenant  embracing              </w:t>
        <w:br/>
        <w:t xml:space="preserve">      analogy of chap. ii. 26) by  (out of, as the  Jews  and Gentiles,—and  therefore was  not             </w:t>
        <w:br/>
        <w:t xml:space="preserve">      preliminary  condition,—the   state out  of   degraded  from its dignity by the doctrine,             </w:t>
        <w:br/>
        <w:t xml:space="preserve">      which  the  justification arises)      and    but  rather established as a part of God’s              </w:t>
        <w:br/>
        <w:t xml:space="preserve">      the uncireumcision  (the Gentiles) through    dealings,—consistent  with, explaining, and             </w:t>
        <w:br/>
        <w:t xml:space="preserve">      (by  means  of  their) faith.   Too  much     explained by, the Gospel.       IV.  1—5.]              </w:t>
        <w:br/>
        <w:t xml:space="preserve">      stress must not be laid on the difference of  Abraham   hinself  was justified by  faith.             </w:t>
        <w:br/>
        <w:t xml:space="preserve">      the  two  prepositions  (see ver.  22  and    —The    reading  and  punctuation   of this             </w:t>
        <w:br/>
        <w:t xml:space="preserve">      note).  The  former  expresses the  ground    verse present some difficulties. Ax to  the             </w:t>
        <w:br/>
        <w:t xml:space="preserve">      of justification,         taken, by, or out   former, I may  remark  that  the verh hath              </w:t>
        <w:br/>
        <w:t xml:space="preserve">      of faith:  the latter the  means   whereby    found is omitted by our  oldest MS. autho-              </w:t>
        <w:br/>
        <w:t xml:space="preserve">      the man   lays hold on  justification,  his   rity, and   placed   variously  by  others.             </w:t>
        <w:br/>
        <w:t xml:space="preserve">     faith:  the former  is the objective ground,   Omitting   it, the  sentenee   will  stand,             </w:t>
        <w:br/>
        <w:t xml:space="preserve">      the latter the subjective medium.      31.)   “What    shall  we  say   then  concerning              </w:t>
        <w:br/>
        <w:t xml:space="preserve">      But  again the Jew  may object, if this the   Abraham,   our father as pertaining  to the             </w:t>
        <w:br/>
        <w:t xml:space="preserve">      case, if      be the ground, and  Faith the  flesh?”    If  the  verb  be  retained,  the             </w:t>
        <w:br/>
        <w:t xml:space="preserve">      medium,  of justification   all,              punctuation  may  be, “ What  shall we say              </w:t>
        <w:br/>
        <w:t xml:space="preserve">      or uncircumcised, surely the law is set       then?  that Abraham,   our father,  as per-             </w:t>
        <w:br/>
        <w:t xml:space="preserve">      and  made  void.  That   this is not so, the  taining to the flesh, hath found”  (righte-             </w:t>
        <w:br/>
        <w:t xml:space="preserve">      Apostle both here  asserts, and is prepared   ousness, or some advantage over Gentiles) ?             </w:t>
        <w:br/>
        <w:t xml:space="preserve">      to shew  by working  out the proposition of   This  has  been  adopted  by  Grotius  and              </w:t>
        <w:br/>
        <w:t xml:space="preserve">      ver. 29, that the law  itself belonged to a   others of some authority.   Another  mode,              </w:t>
        <w:br/>
        <w:t xml:space="preserve">      covenant  whose original recipient was jus-   slightly differing, may  be, “ What  then?              </w:t>
        <w:br/>
        <w:t xml:space="preserve">      tified by faith, and  whose  main  promise    shall we say,  that,’ &amp;c.  But  as Tholuck              </w:t>
        <w:br/>
        <w:t xml:space="preserve">      was, the reception and blessing of the Gen-   well remarks, both these methods  of punc-              </w:t>
        <w:br/>
        <w:t xml:space="preserve">      tiles.      the law]  i.e. the law of Moses,  tuating  would  presuppose  that  St. Paul              </w:t>
        <w:br/>
        <w:t xml:space="preserve">      4s every  where  in the Epistle.  We   may    had  appeared  to give some  reason  in the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