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§  1]                       1TS   AUTHORSHIP.                       [anrropuction.                     </w:t>
        <w:br/>
        <w:t xml:space="preserve">                                                                                                            </w:t>
        <w:br/>
        <w:t xml:space="preserve">     ance  of  aught  which   might   seem  unlike   him  whose    name   it bears  ;—con-                  </w:t>
        <w:br/>
        <w:t xml:space="preserve">     struction,  if you  will,  out of acknowledged      pauline   materials,  but  so as to                </w:t>
        <w:br/>
        <w:t xml:space="preserve">     shun   every  thing   unpauline.         .                                                             </w:t>
        <w:br/>
        <w:t xml:space="preserve">        9.  Now,    as has   been  seen  above,   the  whole   of De   Wette’s   reasoning                  </w:t>
        <w:br/>
        <w:t xml:space="preserve">     goes  upon   the  exact  opposite   of  all these  phenomena.        The    Epistle  is                </w:t>
        <w:br/>
        <w:t xml:space="preserve">     unpauline:    strange   and  surprising   in diction,  and  ideas.    Granting    this,                </w:t>
        <w:br/>
        <w:t xml:space="preserve">     it might   be  a cogent   reason  for  believing  an  anonymous     writing   not to be                </w:t>
        <w:br/>
        <w:t xml:space="preserve">     St.  Paul’s:   but  it is no reason   why   a forgery    bearing   his  name    should                 </w:t>
        <w:br/>
        <w:t xml:space="preserve">     have   been  successful,—on      the contrary,   is a very  sufficient reason   why   it               </w:t>
        <w:br/>
        <w:t xml:space="preserve">     should    have   been   immediately     detected,   and   universally   unsuccessful,                  </w:t>
        <w:br/>
        <w:t xml:space="preserve">     Let  every   one  of  De   Wette’s    positions   be  granted,   and   carried   to  its               </w:t>
        <w:br/>
        <w:t xml:space="preserve">     utmost;    and   the  more    in  number    and   the stronger   they  are,  the  more                 </w:t>
        <w:br/>
        <w:t xml:space="preserve">     reason   there   will be  to infer,  that  the   only  account    to  be  given   of  a                </w:t>
        <w:br/>
        <w:t xml:space="preserve">     writing,    so unlike   St. Paul’s,  obtaining    universal   contemporary     accept-                 </w:t>
        <w:br/>
        <w:t xml:space="preserve">     ance   as  his,  is, that   it was   his  own   genuine    composition.      Then   we                 </w:t>
        <w:br/>
        <w:t xml:space="preserve">     should   have   remaining    the problem    to  account    for  the  Apostle    having                 </w:t>
        <w:br/>
        <w:t xml:space="preserve">      so  far  departed    from   himself:    a  problem     for the   solution   of which                  </w:t>
        <w:br/>
        <w:t xml:space="preserve">     much     acquaintance     with   himself   and   the  circumstances     under    which                 </w:t>
        <w:br/>
        <w:t xml:space="preserve">     he  wrote    would   be   required,—and,      let me   add,   a  treatment    very   far               </w:t>
        <w:br/>
        <w:t xml:space="preserve">      deeper  and   more   thorough   than   De   Wette   has  given   to any  part  of this                </w:t>
        <w:br/>
        <w:t xml:space="preserve">      Epistle.                                                                                              </w:t>
        <w:br/>
        <w:t xml:space="preserve">         10.  But   I am   by   no  means    disposed   to  grant    any   of  De   Wette’s                 </w:t>
        <w:br/>
        <w:t xml:space="preserve">      positions  as they   stand,  nor  to recognize   the   problem    as  I  have   put  it               </w:t>
        <w:br/>
        <w:t xml:space="preserve">      in the  above  hypothetical    form.    ‘The  relation  between     our  Epistle   and                </w:t>
        <w:br/>
        <w:t xml:space="preserve">      that to  the  Colossians,   I have  endeavoured     to  elucidate  below   (§  vi. and                </w:t>
        <w:br/>
        <w:t xml:space="preserve">      Introd.  to the  Col.,  § iv.).    The   reasonings    and   connexions     which   he                </w:t>
        <w:br/>
        <w:t xml:space="preserve">      pronounces    unworthy    of the Apostle,   I hold  him,  in almost   every  case, not                </w:t>
        <w:br/>
        <w:t xml:space="preserve">      to have  appreciated    : and where    he has  appreciated    them,  to  have  hastily                </w:t>
        <w:br/>
        <w:t xml:space="preserve">      condemned.       Here,   as  in  the  instance   of  1 Tim.,   his unfortunate    pre-                </w:t>
        <w:br/>
        <w:t xml:space="preserve">     judgment     of the  spuriousness    of the  Epistle  has  tinged  his  view  of every                 </w:t>
        <w:br/>
        <w:t xml:space="preserve">      portion   of  it: and   his  commentary,     generally   so  thorough   and   able,  so               </w:t>
        <w:br/>
        <w:t xml:space="preserve">      fearless  and  fair, is worth   hardly   more   than  those  of  very   inferior men,                 </w:t>
        <w:br/>
        <w:t xml:space="preserve">      not reaching   below   the  surface,  and  unable  to recognize    the most   obvious                 </w:t>
        <w:br/>
        <w:t xml:space="preserve">      tendencies   and   connexions.                                                                        </w:t>
        <w:br/>
        <w:t xml:space="preserve">         11.  De  Wette’s    arguments     have   been  met   in detail  by   Riickert   and                </w:t>
        <w:br/>
        <w:t xml:space="preserve">      Hemsen;     and   touched    upon    by  Harless,   Neander,    and  Meyer    (Einl.).                </w:t>
        <w:br/>
        <w:t xml:space="preserve">      Davidson    also  treats of  them   in full, and  Eadie   very  slightly.                             </w:t>
        <w:br/>
        <w:t xml:space="preserve">         12.  Baur’s   argument    consists,  as  far as it is peculiar  to him,  mainly   in               </w:t>
        <w:br/>
        <w:t xml:space="preserve">      an  attempt   to trace  in  our  Epistle,   and   that  to  the  Colossians    (for he                </w:t>
        <w:br/>
        <w:t xml:space="preserve">      holds  both  to be  spurious),  expressions    and  sentiments   known     to be those                </w:t>
        <w:br/>
        <w:t xml:space="preserve">      of  Gnosticism    and  Montanism:       and  in some   few  instances   to  shew   that               </w:t>
        <w:br/>
        <w:t xml:space="preserve">      it is not  probable   that  these  heresies  took   their terms   from  the  Epistles,                </w:t>
        <w:br/>
        <w:t xml:space="preserve">      but  rather  the  Epistles  from   them.    This  latter part,  on which   indeed   the               </w:t>
        <w:br/>
        <w:t xml:space="preserve">      conelusiveness    of the  whole   depends,   is very   slightly,  and  to me  most  in-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37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