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I.  TIMOTHY.                                      Vv.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REVISED.         AUTHORIZED      VERSION.         </w:t>
        <w:br/>
        <w:t xml:space="preserve">                                                                                                            </w:t>
        <w:br/>
        <w:t xml:space="preserve">                        .  vide  not  for  his  own,   and   * specially  |for tis own, and  specially      </w:t>
        <w:br/>
        <w:t xml:space="preserve">                       8.  for those  of  his  own    house,  1           \Sor those of his own house,      </w:t>
        <w:br/>
        <w:t xml:space="preserve">                Tit.                                           he   hath   \). rath denied  the faith,      </w:t>
        <w:br/>
        <w:t xml:space="preserve">              myxatt.xvit, denied  the   faith, and   is ™  worse   than   and  is worse  than  an in-      </w:t>
        <w:br/>
        <w:t xml:space="preserve">                          an  unbeliever.                                  fidel.                           </w:t>
        <w:br/>
        <w:t xml:space="preserve">                              9 Let    a   woman      be                     5                9             </w:t>
        <w:br/>
        <w:t xml:space="preserve">                                                           caval        a      Let  not  a  widow   be      </w:t>
        <w:br/>
        <w:t xml:space="preserve">              the saying  is perfectly general,            the Apostle himself below commands  second.      </w:t>
        <w:br/>
        <w:t xml:space="preserve">              their duties on an axiomatic truth.          marriage  for the younger widows.   Again,       </w:t>
        <w:br/>
        <w:t xml:space="preserve">              provide not for, viz.  the way noted above,  the  duties enjoined in ver. 10 presuppose       </w:t>
        <w:br/>
        <w:t xml:space="preserve">              —of  support and sustenance.      his own    some  degree  of competence,  and  thus, on      </w:t>
        <w:br/>
        <w:t xml:space="preserve">              seem  to  be, generally any  connexions,—    this hypothesis, the widows  of the  poorer      </w:t>
        <w:br/>
        <w:t xml:space="preserve">              those  of his own house, those more imme-    classes would be excluded  from sustenance       </w:t>
        <w:br/>
        <w:t xml:space="preserve">              diately included  in one’s  own  family  as  by  charity,—who  most  of all others would      </w:t>
        <w:br/>
        <w:t xml:space="preserve">              dwelling in the same  house.      he  hath   require it.  Also, for the reason alleged in     </w:t>
        <w:br/>
        <w:t xml:space="preserve">              denied   the faith]  “For,”   says Bengel,   ver. 11, sustenance can      be in question      </w:t>
        <w:br/>
        <w:t xml:space="preserve">              “the  faith does not abolish natural duties, —for   then the re-marrying  would  simply       </w:t>
        <w:br/>
        <w:t xml:space="preserve">              but  perfects and   confirms  them.’—The     take them  off the roll,    thus be  rather      </w:t>
        <w:br/>
        <w:t xml:space="preserve">              Roman-Catholic    commentator   Mack   has   a benefit, than a detriment to the Church.       </w:t>
        <w:br/>
        <w:t xml:space="preserve">              some  good  remarks  here, on the  faith of  Nor  again  (2) can we understand  the roll      </w:t>
        <w:br/>
        <w:t xml:space="preserve">              which  the Apostle speaks:  “Fuith, in the   to be that of the deaconesses, as some do:       </w:t>
        <w:br/>
        <w:t xml:space="preserve">              sense of the Apostle, cannot exist, without, although  the Theodosian  code, founded on       </w:t>
        <w:br/>
        <w:t xml:space="preserve">              including  love: for the subject-matter  of  this interpretation, ordained  “that  none       </w:t>
        <w:br/>
        <w:t xml:space="preserve">              faith is not mere opinion, but the           should  be taken  into the  number  of the       </w:t>
        <w:br/>
        <w:t xml:space="preserve">              truth  of God,  to which  he  that believes  deaconesses under sixty years old,               </w:t>
        <w:br/>
        <w:t xml:space="preserve">              gives up his spirit, as he that loves gives  to the  precept of  the Apostle.”   For, a)      </w:t>
        <w:br/>
        <w:t xml:space="preserve">              up  his heart: the subject-matter of     is  the age mentioned   is unfit for   work  of      </w:t>
        <w:br/>
        <w:t xml:space="preserve">              also the object of love.  Where   therefore  the  deaconesses’ office,   in the  council      </w:t>
        <w:br/>
        <w:t xml:space="preserve">              love  is not nor works,  there is uot, nor   of  Chalcedon  the age  of the deaconesses       </w:t>
        <w:br/>
        <w:t xml:space="preserve">              works,  faith either: so that he who fulfils was  fixed at  forty: b) not  only  widows       </w:t>
        <w:br/>
        <w:t xml:space="preserve">              not the offices of    towards his relatives, but  virgins were elected deaconesses:  (3)      </w:t>
        <w:br/>
        <w:t xml:space="preserve">              is virtually  an unbeliever.”       worse    it is implied in ver. 12, that these             </w:t>
        <w:br/>
        <w:t xml:space="preserve">              than  an unbeliever]  For even among  hea-   were  bound  not to marry again, which was       </w:t>
        <w:br/>
        <w:t xml:space="preserve">              thens  the common   duties of family piety   not  the  ease with  the  deaconesses.   It      </w:t>
        <w:br/>
        <w:t xml:space="preserve">              are recognized : if therefore Christian re-  seems  therefore better to understand here       </w:t>
        <w:br/>
        <w:t xml:space="preserve">              pudiates  them, he lowers  himself beneath   some  especial band  of  widows, sustained       </w:t>
        <w:br/>
        <w:t xml:space="preserve">              the  heathen.   Compare  Matt.  v. 46, 47.   perhaps at the expense of the       but not      </w:t>
        <w:br/>
        <w:t xml:space="preserve">              Also, as Calvin  suggests  in addition, the  the only ones who  were thus supported  :—       </w:t>
        <w:br/>
        <w:t xml:space="preserve">              Christian  who  lives in the  light of the   set apart for            duties, and bound       </w:t>
        <w:br/>
        <w:t xml:space="preserve">              Gospel, has  less excuse for breaking those  to  the service of God.   Such  are under-       </w:t>
        <w:br/>
        <w:t xml:space="preserve">              laws  of nature  which  even  without  the   stood here  by Chrysostom   himself  in his      </w:t>
        <w:br/>
        <w:t xml:space="preserve">              Gospel are recognized by men.—According      homily  on the passage. They  are also men-      </w:t>
        <w:br/>
        <w:t xml:space="preserve">              to hypothesis  (1) or (2)      this general  tioned as the band  of widows,  as presby-       </w:t>
        <w:br/>
        <w:t xml:space="preserve">              statement  applies to the widows or to their tresses, as having precedence of rank: i.e.      </w:t>
        <w:br/>
        <w:t xml:space="preserve">              children and grandchildren.   But surely it  such widows   as corresponded  in office for     </w:t>
        <w:br/>
        <w:t xml:space="preserve">              would  be very harsh to understand it of     their own sex in some  measure to the pres-      </w:t>
        <w:br/>
        <w:t xml:space="preserve">              widows:   and this forms an additional       byters,—sat   unveiled  in  the assemblies       </w:t>
        <w:br/>
        <w:t xml:space="preserve">              ment  for hypothesis (2).                    in  a separate  place, by  the  presbyters,      </w:t>
        <w:br/>
        <w:t xml:space="preserve">                 9—16.]  Further  regulations respecting   and  had  a kind of  supervision over their      </w:t>
        <w:br/>
        <w:t xml:space="preserve">              widows,        9.] Let  a  woman    be  in-  own   sex, especially over the widows  and       </w:t>
        <w:br/>
        <w:t xml:space="preserve">              serted in the catalogue as a widow.    But   orphans:  were  vowed  to perpetual widow-       </w:t>
        <w:br/>
        <w:t xml:space="preserve">              now,  for what purpose?   What   catalogue   hood, clad  with ‘widow’s  vestments,’ and       </w:t>
        <w:br/>
        <w:t xml:space="preserve">              are we  to understand?    Hardly,  (1) that  ordained  by laying on of hands.  This  in-      </w:t>
        <w:br/>
        <w:t xml:space="preserve">              of those who  are to receive relief    the   stitution of the  early church, which  was       </w:t>
        <w:br/>
        <w:t xml:space="preserve">              Church  (so Chrysostom  and  many others) :  abolished by the eleventh canon of   coun-       </w:t>
        <w:br/>
        <w:t xml:space="preserve">              for thus the  rule, that she is to he sixty  cil of Laodicea, is sufficiently        by       </w:t>
        <w:br/>
        <w:t xml:space="preserve">              years of age, would  seem  a harsh one,  as  many  of  the Fathers.   De  Wette  makes        </w:t>
        <w:br/>
        <w:t xml:space="preserve">              many  widows   might be destitute at a  far  the  allusion to this ‘institute   widows’       </w:t>
        <w:br/>
        <w:t xml:space="preserve">              earlier age: as also the rule that she       one proof of  the post-apostolic    of the       </w:t>
        <w:br/>
        <w:t xml:space="preserve">              not have  been twice married,  especially as Epistle: but  on this see Introd.   vi. § i.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