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7—12,                            I.   TIMOTHY.                                      563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REVISED.                                  </w:t>
        <w:br/>
        <w:t xml:space="preserve">    Sore I endure  all things     all things    for  the   sake   of  the  elect,                           </w:t>
        <w:br/>
        <w:t xml:space="preserve">     the elect’s sake, that they  that    they  also   may   obtain    the   sal- 200.10.                   </w:t>
        <w:br/>
        <w:t xml:space="preserve">     may also obtain  the salva-  vation   which   is in  Christ    Jesus   with                            </w:t>
        <w:br/>
        <w:t xml:space="preserve">     tion which   is  in  Christ  eternal   glory.                                                          </w:t>
        <w:br/>
        <w:t xml:space="preserve">     Jesus with   eternal glory.  saying:    For   if  "we Faithful with is him,  «fom.vi.s,s.              </w:t>
        <w:br/>
        <w:t xml:space="preserve">     “It  is @ faithful saying:                                                                             </w:t>
        <w:br/>
        <w:t xml:space="preserve">     For  if  we  be dead   with  we   shall  also   live  with   him:    1   *if  =tep,y                   </w:t>
        <w:br/>
        <w:t xml:space="preserve">     him, we shall also live with we   endure,   we   shall  also  reign   with            1.17.            </w:t>
        <w:br/>
        <w:t xml:space="preserve">     him:   Vif  we  suffer, we   him:    Yif  we  shall  deny    him,  he  also  y Mate. iv.               </w:t>
        <w:br/>
        <w:t xml:space="preserve">     shall also reign with him:                                                                             </w:t>
        <w:br/>
        <w:t xml:space="preserve">    éf we deny  him, he also will                                                   Mark viii.              </w:t>
        <w:br/>
        <w:t xml:space="preserve">                                                                                    Luke xii.               </w:t>
        <w:br/>
        <w:t xml:space="preserve">     habited his prison, and  the  doctrine ran   with Him)  may  obtain the salvation which                </w:t>
        <w:br/>
        <w:t xml:space="preserve">     with wings all over the world.”—The   pur-   is in (as its element  and condition of ex-               </w:t>
        <w:br/>
        <w:t xml:space="preserve">     pose of adding this seems to be, to remind   istence) Christ  Jesus with  eternal  glory               </w:t>
        <w:br/>
        <w:t xml:space="preserve">     Timothy  that Aés sufferings and imprison-   (salvation here, in its        presence and               </w:t>
        <w:br/>
        <w:t xml:space="preserve">     ment had  in no way weakened  the power  of  power—“   by  grace  ye have  been  saved,”               </w:t>
        <w:br/>
        <w:t xml:space="preserve">     the Gospel, or loosened the ties  which he   Eph.  ii. 6: and  glory  hereafter, the full              </w:t>
        <w:br/>
        <w:t xml:space="preserve">     [Timothy]  was bound  to the service of it). development   and  expansion   of salvation,              </w:t>
        <w:br/>
        <w:t xml:space="preserve">            10.) For this reason (what  reason ?  Rom.   viii. 21). Faithful  is  the  saying               </w:t>
        <w:br/>
        <w:t xml:space="preserve">     “ Because while I am bound the Gospel run-   (another of those current Christian sayings,              </w:t>
        <w:br/>
        <w:t xml:space="preserve">     neth,” says Bengel,  and  with this others   probably  the  utterances originally of the               </w:t>
        <w:br/>
        <w:t xml:space="preserve">     agree. But neither 1) is   sound  logic,     Spirit by  those  who  spoke prophecies   in              </w:t>
        <w:br/>
        <w:t xml:space="preserve">     2)is it  accordance with the Apostle’s       the  Church—and,     as in  1 Tim.  iii. 16,              </w:t>
        <w:br/>
        <w:t xml:space="preserve">     of the expression  “for  this cause  that.”  bearing  with  it so  much  of  balance and               </w:t>
        <w:br/>
        <w:t xml:space="preserve">     1) The fact, that the word  of God   is not  rhythmical  arrangement,  as to  seem to be               </w:t>
        <w:br/>
        <w:t xml:space="preserve">     bound, is clearly not  the reason  why  he   a portion of some hymn):   For (Chrysostom                </w:t>
        <w:br/>
        <w:t xml:space="preserve">     suffers these       for the elect: nor can   and   others regard  this for  as rendering               </w:t>
        <w:br/>
        <w:t xml:space="preserve">     we say with Huther, that the consciousness    a reason why  the saying is         under-               </w:t>
        <w:br/>
        <w:t xml:space="preserve">     of this fact is    in which he endures  all.  standing faithful is the saying of what has              </w:t>
        <w:br/>
        <w:t xml:space="preserve">     De  Wette  takes the  predominant   idea to  gone   before, viz. the  certainty  that he               </w:t>
        <w:br/>
        <w:t xml:space="preserve">     be, the dispersion  and  suceess  of God’s   who  obtains salvation shall also   eternal               </w:t>
        <w:br/>
        <w:t xml:space="preserve">     word, in and  by which  the Apostle  is en-  glory.   But  this is most nnnatural.   The               </w:t>
        <w:br/>
        <w:t xml:space="preserve">     couraged to suffer. But  this would render   for  is not  merely  explicative, but as  in              </w:t>
        <w:br/>
        <w:t xml:space="preserve">     the connexion  very loose.  2) In 1 Tim. i.   1 Tim. iv. 9,       a reason for the asser-              </w:t>
        <w:br/>
        <w:t xml:space="preserve">     16, and Philem.  15, the reference of “for    tion that the  saying is faithful,—in  the               </w:t>
        <w:br/>
        <w:t xml:space="preserve">     this cause” is evidently to what  follows:    declaration of the    in well-known words:               </w:t>
        <w:br/>
        <w:t xml:space="preserve">     compare  also Rom.   iv. 16, 2 Cor. xiii.    for the  fact is so, that if &amp;c.) if   died               </w:t>
        <w:br/>
        <w:t xml:space="preserve">     I would  therefore refer the words  to  the   with Him   (pointing to some   one definite              </w:t>
        <w:br/>
        <w:t xml:space="preserve">     following, and  consider  them, as  in  the   event: the reference must be  to that parti-             </w:t>
        <w:br/>
        <w:t xml:space="preserve">     above instances, as a marked  way  of indi-   cipation in Christ’s     which  takes place              </w:t>
        <w:br/>
        <w:t xml:space="preserve">     eating the  reason presently  to be given:    at baptism  in all those who  are His, and               </w:t>
        <w:br/>
        <w:t xml:space="preserve">     ‘for  this purpose,  ...  that;’ so  Chry-    which those who   follow Him  in sufferings              </w:t>
        <w:br/>
        <w:t xml:space="preserve">     sostom and  others) I endure all things (not  emphatically shew that they then did really              </w:t>
        <w:br/>
        <w:t xml:space="preserve">     merely  suffer [objective]:  but  readiness   take on  them:  see Rom.   vi. 3,      Col.              </w:t>
        <w:br/>
        <w:t xml:space="preserve">     and  persistence [subjective]  are  implied   ji. 12, Certainly if the  past tense stood               </w:t>
        <w:br/>
        <w:t xml:space="preserve">     in the word,  and the  universal all things   alone, it might be  taken as anticiputory,               </w:t>
        <w:br/>
        <w:t xml:space="preserve">     belongs to this subjective meaning—‘  I am    looking back  on life from that future day               </w:t>
        <w:br/>
        <w:t xml:space="preserve">     enduring, ready to bear, all things’)   the   in which the living    him will be realized              </w:t>
        <w:br/>
        <w:t xml:space="preserve">     sake  of the  Gta   (see especially Tit. 1.   but coupled as  it is with the present,                  </w:t>
        <w:br/>
        <w:t xml:space="preserve">     The  Apostle does not refer merely to those   endure,” and  the future, “ we shall deny,”              </w:t>
        <w:br/>
        <w:t xml:space="preserve">     elect of God  who  are  not yet  converted,   we can hardly  take it otherwise than  lite-             </w:t>
        <w:br/>
        <w:t xml:space="preserve">     but  generally to the whole  category, both   rally as to time, of an event already past,              </w:t>
        <w:br/>
        <w:t xml:space="preserve">     those who  are already turned  to him, and    and  if so, strictly in the  parallel Rom.               </w:t>
        <w:br/>
        <w:t xml:space="preserve">     those who  are yet to  be turned:  compare    vi. 8,      the reference is clear),  shall              </w:t>
        <w:br/>
        <w:t xml:space="preserve">     the parallel declaration in Col. i.    that   also live with Him  (hereafter in glory): if             </w:t>
        <w:br/>
        <w:t xml:space="preserve">     they  also (as well as ourselves with refer-  wo  endure (with  Him:  see Rom.  viii. 17),             </w:t>
        <w:br/>
        <w:t xml:space="preserve">     ence  to  what  is to follow, the certainty   we  shall also  reign with  Him  (sce Rom.               </w:t>
        <w:br/>
        <w:t xml:space="preserve">     that we, who  suffer with Him,  shall reign   vy. 17; viii.    In the former  pair, death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