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CH.  1x.]                   2  THESSALONIANS.                       [introruction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CHAPTER             IX.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THE   SECOND     EPISTLE     TO  THE    THESSALONIANS.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SECTION        I.                                                  </w:t>
        <w:br/>
        <w:t xml:space="preserve">                                       ITS  AUTHORSHIP.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1. Tue    recognition    of  this  Epistle   has   been   as  general,—and      the                </w:t>
        <w:br/>
        <w:t xml:space="preserve">      exceptions   to  it for the  most  part  the  same,—as     in the  case  of the  last.                </w:t>
        <w:br/>
        <w:t xml:space="preserve">         2. The    principal   testimonies    of early   Christian   writers   are  the  fol-               </w:t>
        <w:br/>
        <w:t xml:space="preserve">      lowing  :                                                                                             </w:t>
        <w:br/>
        <w:t xml:space="preserve">         (a)  Ireneus:                                                                                      </w:t>
        <w:br/>
        <w:t xml:space="preserve">            “But    that   the  Apostle     (Paul)    frequently    uses   hyperboles,    on                </w:t>
        <w:br/>
        <w:t xml:space="preserve">            account   of the  rapidity  of his  sayings,  and  the  impetus   of  the Spirit                </w:t>
        <w:br/>
        <w:t xml:space="preserve">            which   is in him,  we   may   see from   many   other   examples.    . . . And                 </w:t>
        <w:br/>
        <w:t xml:space="preserve">            again  in the  second   to the  Thessalonians,    speaking   of Antichrist,   he                </w:t>
        <w:br/>
        <w:t xml:space="preserve">          . says, ‘And    then shall  be revealed,’”   &amp;c.  (ch. ii. 8, 9).                                 </w:t>
        <w:br/>
        <w:t xml:space="preserve">         (6)  Clement    of Alexandria:                                                                     </w:t>
        <w:br/>
        <w:t xml:space="preserve">            «Not     in  all,’ saith  the  Apostle,   ‘is knowledge:     but  pray   that we                </w:t>
        <w:br/>
        <w:t xml:space="preserve">           may   be  delivered  from   unreasonable    and   wicked    men:   for  all  have                </w:t>
        <w:br/>
        <w:t xml:space="preserve">           not  faith.’”                                                                                    </w:t>
        <w:br/>
        <w:t xml:space="preserve">         (c) Tertullian:     following   on  the citation  from   the  first Epistle  given                 </w:t>
        <w:br/>
        <w:t xml:space="preserve">           above,   ch.  viii. § i. 3, . .  . . “and    in  the second,   even   with  more                 </w:t>
        <w:br/>
        <w:t xml:space="preserve">           anxiety   he  saith  to the  same   persons:    ‘ But  I beseeeh  you,  brethren,                </w:t>
        <w:br/>
        <w:t xml:space="preserve">           by  the coming   of our  Lord   Jesus   Christ,’”  &amp;c.  (ch.  ii. 1, 2).                         </w:t>
        <w:br/>
        <w:t xml:space="preserve">         8. The    objections   brought    by  Schmidt,   Kern,   and   Baur   against   the                </w:t>
        <w:br/>
        <w:t xml:space="preserve">      genuineness    of  the  Epistle,  in  as  far as  they   rest  on  the  old   story  of               </w:t>
        <w:br/>
        <w:t xml:space="preserve">      similarities  and   differences   as  compared    with   St. Paul’s   acknowledged                    </w:t>
        <w:br/>
        <w:t xml:space="preserve">      Epistles,  have  been   already  more   than  once   dealt with.   I  shall now   only                </w:t>
        <w:br/>
        <w:t xml:space="preserve">      notice  those  which   regard   points  peculiar   to our  Epistle   itself.                          </w:t>
        <w:br/>
        <w:t xml:space="preserve">        4,  It  is said that   this  second   Epistle  is not  consistent   with  the  first :              </w:t>
        <w:br/>
        <w:t xml:space="preserve">      that directed   their  attention   to the  Lord’s   coming   as  almost  immediate    :               </w:t>
        <w:br/>
        <w:t xml:space="preserve">      this interposes    delay,—the     apostasy,—the      man    of  sin, &amp;c.    It  really                </w:t>
        <w:br/>
        <w:t xml:space="preserve">      seems  as  if no  propriety    nor exact   fitting  of  circumstances    would    ever                </w:t>
        <w:br/>
        <w:t xml:space="preserve">     satisfy  such   critics.   It might    be  imagined    that  this  very  discrepancy,                  </w:t>
        <w:br/>
        <w:t xml:space="preserve">     even   if allowed,   would   tell most  strongly   in  favour  of  the genuineness.                    </w:t>
        <w:br/>
        <w:t xml:space="preserve">        5.  It is alleged   by Kern,   that  the whole   prophetic    passage,  ch.  ii. 1 ff.,             </w:t>
        <w:br/>
        <w:t xml:space="preserve">     does   not correspond    with   the date  claimed   for the  Epistle.  It is assumed,                  </w:t>
        <w:br/>
        <w:t xml:space="preserve">     that  the man   of sin  is Nero,   who   was  again  to  return,  Rev.  xvii.  10,—he                  </w:t>
        <w:br/>
        <w:t xml:space="preserve">     that  hindereth,   Vespasian,—the       apostasy,  the   falling  away   of  the  Jews                 </w:t>
        <w:br/>
        <w:t xml:space="preserve">     and   Christians   alike.    This   view,  it is urged,  fits  a writer  in A.p.  68—                  </w:t>
        <w:br/>
        <w:t xml:space="preserve">     70,  between    Nero’s   death  and   the  destruction   of Jerusalem.      But    than                </w:t>
        <w:br/>
        <w:t xml:space="preserve">              75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