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INTRODUCTION.     |         2  THESSALONIANS.                                (lon. 1x.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this  nothing   can   be  more    inconclusive.     Why    have  we   not  as good   a        </w:t>
        <w:br/>
        <w:t xml:space="preserve">              right  to say,  that  this  interpretation   is wrong,   because   it does  not corre-        </w:t>
        <w:br/>
        <w:t xml:space="preserve">              spond   to  the received   date   of the  Epistle,  as  vice  versi?     To   us  (seo        </w:t>
        <w:br/>
        <w:t xml:space="preserve">              below,  §  v.) the  interpretation    is  full of  absurdity,    and  therefore    the        </w:t>
        <w:br/>
        <w:t xml:space="preserve">              argument    carries  no  conviction.                                                          </w:t>
        <w:br/>
        <w:t xml:space="preserve">                 6. It  is  maintained    again,   that   ch.  iii. 17  is strongly    against   the        </w:t>
        <w:br/>
        <w:t xml:space="preserve">              genuineness    of  our  Epistle:   for  that   there  was  no  reason   for guarding          </w:t>
        <w:br/>
        <w:t xml:space="preserve">             against   forgeries;   and   as for  the  words   “in  every  Epistle,”   the Apostle          </w:t>
        <w:br/>
        <w:t xml:space="preserve">              had  written   but  one.    For   an  answer    to  this, see  note   on  the   place,        </w:t>
        <w:br/>
        <w:t xml:space="preserve">             where    both  the  reason   for inserting  this is adduced,   and  it is shewn,   that        </w:t>
        <w:br/>
        <w:t xml:space="preserve">              almost  all of  his Epistles   either  are  expressly,   or may   be  understood    as        </w:t>
        <w:br/>
        <w:t xml:space="preserve">             having    been,  thus  authenticated.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IL.                                           </w:t>
        <w:br/>
        <w:t xml:space="preserve">                FOR   WHAT     READERS,     AND   WITH    WHAT     OBJECT    IT  WAS   WRITTEN.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The    former   particular   has   been   already  sufficiently  explained    in        </w:t>
        <w:br/>
        <w:t xml:space="preserve">             the  corresponding     section   of the  Introduction    to the  first Epistle.   But          </w:t>
        <w:br/>
        <w:t xml:space="preserve">             inasmuch    as  the condition   of  the Thessalonian     Church    in the  mean   time         </w:t>
        <w:br/>
        <w:t xml:space="preserve">             bears  closely  upon   the  object  of the Epistle,   I resume  here   the considera-          </w:t>
        <w:br/>
        <w:t xml:space="preserve">             tion  of their  circumstances    and  state  of mind.                                          </w:t>
        <w:br/>
        <w:t xml:space="preserve">                2.  We   have   seen  that   there  were   those   among    them,   who   were  too         </w:t>
        <w:br/>
        <w:t xml:space="preserve">             ready   to take  up  and  exaggerate    the prevalence    of the subject   of Christ’s         </w:t>
        <w:br/>
        <w:t xml:space="preserve">             coming    among    the   topics  of  the   Apostle’s   teaching.     These   persons,          </w:t>
        <w:br/>
        <w:t xml:space="preserve">             whether    encouraged     by  the  tone   of  the  first Epistle  or not,  we  cannot          </w:t>
        <w:br/>
        <w:t xml:space="preserve">             tell (for we   cannot   see  any  reference   to the  first Epistle  in ch.  ii. 2, see        </w:t>
        <w:br/>
        <w:t xml:space="preserve">             note  there),  were   evidently   teaching,   as an  expansion    of St. Paul’s   doc-         </w:t>
        <w:br/>
        <w:t xml:space="preserve">             trine, or  as under   his authority,   or even   as enjoined   in a  letter from  him          </w:t>
        <w:br/>
        <w:t xml:space="preserve">             (ib. note),  the  actual  presence   of  the day   of the  Lord.     In consequence            </w:t>
        <w:br/>
        <w:t xml:space="preserve">             of  this, their  minds   had   become    unsettled:    they  wanted    directing  into         </w:t>
        <w:br/>
        <w:t xml:space="preserve">             the  love  of God   and  the  imitation  of  Christ’s  patience   (ch. iii. 5). Some           </w:t>
        <w:br/>
        <w:t xml:space="preserve">             appear    to  have   left off  their  daily   employments,      and   to  have   been          </w:t>
        <w:br/>
        <w:t xml:space="preserve">             taking   advantage     of  the  supposed    reign  of  Christ  to  be  walking    dis-         </w:t>
        <w:br/>
        <w:t xml:space="preserve">             orderly.                                                                                       </w:t>
        <w:br/>
        <w:t xml:space="preserve">                8. It  was  this state  of  things,  which    furnished   the  occasion    for  our         </w:t>
        <w:br/>
        <w:t xml:space="preserve">             Epistle  being   written.    Its object  is to make    it clear  to  them   that   tho         </w:t>
        <w:br/>
        <w:t xml:space="preserve">             day   of  Christ,   though   a  legitimate    matter   of  expectation     for  every          </w:t>
        <w:br/>
        <w:t xml:space="preserve">             Christian,   and  a constant   stimulus    for watchfulness,    was   not yet  come:           </w:t>
        <w:br/>
        <w:t xml:space="preserve">             that  a course   and  development      of  events   must   first happen,   which    he         </w:t>
        <w:br/>
        <w:t xml:space="preserve">             lays forth  to  them   in  the  spirit  of prophecy:     shewing    them    that  this         </w:t>
        <w:br/>
        <w:t xml:space="preserve">             development     has  already  begun,   and   that  not  until  it has   ripened   will         </w:t>
        <w:br/>
        <w:t xml:space="preserve">            the  coming    of the  Lord   take  place.                                                      </w:t>
        <w:br/>
        <w:t xml:space="preserve">               4.  This  being   the  occasion   of  writing   the  Epistle,  there  are grouped            </w:t>
        <w:br/>
        <w:t xml:space="preserve">                     76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