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§1]J                         ITS    GENUINENES:                      if NTRODUCTION.                   </w:t>
        <w:br/>
        <w:t xml:space="preserve">    definite  external   occasion,  and   the generality   of  the  contents   and  purpose.                </w:t>
        <w:br/>
        <w:t xml:space="preserve">     But  it  may   be  replied,  it  is surely   too  much   to  expect   that  an  Apostle                </w:t>
        <w:br/>
        <w:t xml:space="preserve">    shonld    be confined    to writing   to  those  churches    with   whieh   he  has  been               </w:t>
        <w:br/>
        <w:t xml:space="preserve">    externally    connected,    and   in  which    an  assignable    eanse  for  his  writing               </w:t>
        <w:br/>
        <w:t xml:space="preserve">    has  arisen:   and  besides,  it will be  found   below,  in treating   on  the occasion                </w:t>
        <w:br/>
        <w:t xml:space="preserve">    and   object   of  the  Epistle,   that   these,  though    of  a  gencral   nature,   are              </w:t>
        <w:br/>
        <w:t xml:space="preserve">    perfectly   and   satisfactorily   assignable.                           ‘                              </w:t>
        <w:br/>
        <w:t xml:space="preserve">       2)   The  want   of  a marked    individual   character    both  in composition    and               </w:t>
        <w:br/>
        <w:t xml:space="preserve">    in  theology.    But   on  the   one  hand    this  is not conceded     zn  toto, and   on              </w:t>
        <w:br/>
        <w:t xml:space="preserve">    the   other   it  is manifestly     unreasonable     to  require   that  in  one    man’s               </w:t>
        <w:br/>
        <w:t xml:space="preserve">    writing   it should   be so  plainly  notable   as in  that  of another:    in St. Peter,               </w:t>
        <w:br/>
        <w:t xml:space="preserve">    as  in St.  Paul   and  St. John.                                                                       </w:t>
        <w:br/>
        <w:t xml:space="preserve">       3)   The  want   of close  connexion    and  evolution   of  thought.    But,   it may               </w:t>
        <w:br/>
        <w:t xml:space="preserve">    be  answered,     the  purpose    and  character    of  the  Epistle   itself forbids   us              </w:t>
        <w:br/>
        <w:t xml:space="preserve">    to  require   such  a  connexion;     and   we  may   notice  that   even  in  St, Paul’s               </w:t>
        <w:br/>
        <w:t xml:space="preserve">    Epistles   Schwegler     professes   not   to be  able  to find  it,                                    </w:t>
        <w:br/>
        <w:t xml:space="preserve">       4)   The   impossibility    that   Peter,   labouring    in  the  far   East,    could               </w:t>
        <w:br/>
        <w:t xml:space="preserve">    have    become    acquainted     with   the  later  Epistles    of  St.   Paul    so  soon              </w:t>
        <w:br/>
        <w:t xml:space="preserve">    (assuming     their  genuineness)     after  their composition.      But,  it is replied,               </w:t>
        <w:br/>
        <w:t xml:space="preserve">    there    is no trace  in our  Epistle   of acquaintance     with   the  latest, viz.  that              </w:t>
        <w:br/>
        <w:t xml:space="preserve">    to Titus   and  2 Timothy.       ‘The  only  possible   difficulty is  the apparent    (?)              </w:t>
        <w:br/>
        <w:t xml:space="preserve">    acquaintance      with   1  ‘Timothy:     but   this  may    have   come   to  St.  Peter               </w:t>
        <w:br/>
        <w:t xml:space="preserve">    through    John    Mark.                                                                                </w:t>
        <w:br/>
        <w:t xml:space="preserve">       5)   The  impossibility,    on  the  assumption     of  the  Epistle   being   written               </w:t>
        <w:br/>
        <w:t xml:space="preserve">    in  Babylon     (sce  below,    §  iv.  on   the  time   and   place   of   writing),   of              </w:t>
        <w:br/>
        <w:t xml:space="preserve">    bringing    together   the  Neronian     persecution    which    is  alluded   to   in  it,             </w:t>
        <w:br/>
        <w:t xml:space="preserve">    and   the  death   of  St.  Peter   by  martyrdom     during    that  very  persecution.                </w:t>
        <w:br/>
        <w:t xml:space="preserve">     But   it is  a   pure   assumption      that  the  persecution     alluded    to  in  tho              </w:t>
        <w:br/>
        <w:t xml:space="preserve">    Epistle    is  that  under    Nero;     and   another,    that   the  Apostle    suffered               </w:t>
        <w:br/>
        <w:t xml:space="preserve">    martyrdom      under   Nero   at  that  time.                                                           </w:t>
        <w:br/>
        <w:t xml:space="preserve">        18.  It is  also   not  without     interest,   to  discuss    the  reasons    which                </w:t>
        <w:br/>
        <w:t xml:space="preserve">    Schwegler      adduces    for  believing    the  Epistle   to be  a  production    of  the              </w:t>
        <w:br/>
        <w:t xml:space="preserve">    post-apostolie    age   under   Trajan,      ‘They   are,  1)  the  tranquil   unimpas-                 </w:t>
        <w:br/>
        <w:t xml:space="preserve">    sioned   tone   of  the  Epistle,  contrasted    with   the  effect  on  the  Christians                </w:t>
        <w:br/>
        <w:t xml:space="preserve">    of   the   Neronian      perseeution:     2)   the   circumstance      that  under     the              </w:t>
        <w:br/>
        <w:t xml:space="preserve">    Neronian     persecution     the  Christians    were    involved    in  a  charge    of  a              </w:t>
        <w:br/>
        <w:t xml:space="preserve">    definite  crime,   viz.  the  setting   fire to  the  city,  whereas    in  our   Epistle               </w:t>
        <w:br/>
        <w:t xml:space="preserve">    they   suffer  “as  Christians,”    on  account   of the  general    suspicion  of  a bad               </w:t>
        <w:br/>
        <w:t xml:space="preserve">    life (as  evil  doers);   8)  the  improbability     that  the  Neronian     persecntion                </w:t>
        <w:br/>
        <w:t xml:space="preserve">    extended     beyond    Rome:     4)   the  assumption     in  the   Epistle   of  regular               </w:t>
        <w:br/>
        <w:t xml:space="preserve">    legal   processes,    whereas    the   persecution     under    Nero   was    more   of  a              </w:t>
        <w:br/>
        <w:t xml:space="preserve">     {umultuary    act;   5)  the  state  of  Christianity    in  Asia  Minor    as depicted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® Sce on this below, § vi. par. 9.                                         </w:t>
        <w:br/>
        <w:t xml:space="preserve">              233                              q2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