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INTRODUCTION.      |                   1  PETER.                               (on.  xvit.         </w:t>
        <w:br/>
        <w:t xml:space="preserve">                                                                                                            </w:t>
        <w:br/>
        <w:t xml:space="preserve">          iii,    of Baptism:     of things   subjective,   asi.  21,  of faith  and   hope;  ii. 5,        </w:t>
        <w:br/>
        <w:t xml:space="preserve">          of acceptable    works   for  God;    iv. 11, of  the  power   to  glorify  God.     The          </w:t>
        <w:br/>
        <w:t xml:space="preserve">          central  point   of this  mediatorial    work    is His   Resurrection,     i. 3, iii. 21 ;       </w:t>
        <w:br/>
        <w:t xml:space="preserve">          in subordination     to which    the  other  facts  of  Redemption     are  introduced,           </w:t>
        <w:br/>
        <w:t xml:space="preserve">          even   where    they  occur   without    any   necessary    reference   to  it, as  @. g.,        </w:t>
        <w:br/>
        <w:t xml:space="preserve">             11,  19—21,     iii. 18,  ii. 24,   25.   And     those   particulars    of   Christ’s         </w:t>
        <w:br/>
        <w:t xml:space="preserve">          agency   are   principally   brought    forward,    which    are  connected    with   the         </w:t>
        <w:br/>
        <w:t xml:space="preserve">          Resurreetion    ;  e. g.,   His preaching    to  the  imprisoned     spirits, iii. 19  #5         </w:t>
        <w:br/>
        <w:t xml:space="preserve">          His  Ascension,     iii.   22; His lordship   over  His   people,   ii. 25;  His   fature         </w:t>
        <w:br/>
        <w:t xml:space="preserve">          Revelation,    i. 7, 13,  and   that  with  judgment,      iv. 5.   Every    where   it is        </w:t>
        <w:br/>
        <w:t xml:space="preserve">          less  the  historical  Christ,   than   the  exalted   Christ   of  the  present   and  of        </w:t>
        <w:br/>
        <w:t xml:space="preserve">          the  future,   that  is  before   the  Apostle;     the   Eternal    One,   i. 11, ii. 25.        </w:t>
        <w:br/>
        <w:t xml:space="preserve">          Even    where   His   sufferings   are  mentioned,     it is ever  “  Christ,”   or  “the         </w:t>
        <w:br/>
        <w:t xml:space="preserve">          Christ  :”  not  so  much    the  humiliated    One,   as the  glorified   and  anointed          </w:t>
        <w:br/>
        <w:t xml:space="preserve">          One   of God,   ii. 21;   iii. 18 f.;  iv.1,  18.    And   this,  partly  because    their        </w:t>
        <w:br/>
        <w:t xml:space="preserve">          present   belief  on  Him,    not  their  past  experience    or  knowledge     of  Him,          </w:t>
        <w:br/>
        <w:t xml:space="preserve">          is  that  which    is  emphasized,      i. 8;   partly   for  the  reason    next   to  be        </w:t>
        <w:br/>
        <w:t xml:space="preserve">          noticed.                                                                                          </w:t>
        <w:br/>
        <w:t xml:space="preserve">             5,  Another    original  and   peculiar   feature   of our  Epistle   is, its constant         </w:t>
        <w:br/>
        <w:t xml:space="preserve">          reference   and   forward   look  to  the future.    This   has  been   indeed   by  some         </w:t>
        <w:br/>
        <w:t xml:space="preserve">          exaggerated:      as,  e.g.,  Mayerhoff.       Huther    and   Luthardt     have   consi-         </w:t>
        <w:br/>
        <w:t xml:space="preserve">          dered   hope   as  the  central   idea   and  subject    of the  Epistle:    and   Weiss          </w:t>
        <w:br/>
        <w:t xml:space="preserve">          adopts   for  St. Peter   the  title of the  Apostle   of hope.    But   the   fact itself        </w:t>
        <w:br/>
        <w:t xml:space="preserve">          is not  to be  denied.     Wherever      we  consult   the  Epistle,   it is always    the        </w:t>
        <w:br/>
        <w:t xml:space="preserve">          future  to  which   the  exhortations    point  : whether    we  regard   the  sufferings         </w:t>
        <w:br/>
        <w:t xml:space="preserve">          of Christ   Himself,    as pointing    on  to  future  glory,   i. 11, iv. 13;   or those         </w:t>
        <w:br/>
        <w:t xml:space="preserve">          of His   followers,   i.6, 7,9.     Salvation   itself  is “ the end  of faith,”  i. 9;  is       </w:t>
        <w:br/>
        <w:t xml:space="preserve">          the  object   of  living  (i. 3)  and   certain   (i. 13)  hope,   i. 3, 13,  21,  ili, 15,       </w:t>
        <w:br/>
        <w:t xml:space="preserve">          The   same   expectation    appears   as expressed    in “ honour,”    ii. 7; “ life,”            </w:t>
        <w:br/>
        <w:t xml:space="preserve">          10  (compare    i, 3) ; “glory,”   v.4,  10:   and  as ©  constantly   present   motive,          </w:t>
        <w:br/>
        <w:t xml:space="preserve">          ii. 2;  v.4.     The   nearness   of  this  future  blessedness    throws    the  present         </w:t>
        <w:br/>
        <w:t xml:space="preserve">          life  into   the  background,      so  that   God’s    people   are   “strangers”     and         </w:t>
        <w:br/>
        <w:t xml:space="preserve">          “ sojourners,”    i. 1,17;   ii, 11.    This  is ever   before  the  Apostle   ;  both  in        </w:t>
        <w:br/>
        <w:t xml:space="preserve">          reference   to  his readers,   iv. 13,  and   to himself,   y. 1.                                 </w:t>
        <w:br/>
        <w:t xml:space="preserve">             6.  Briickner,    from  whom    in the  main   the  foregoing   remarks    have   been         </w:t>
        <w:br/>
        <w:t xml:space="preserve">          adopted,   and  who   goes  much    further  into  detail  in following   ont  the  same,         </w:t>
        <w:br/>
        <w:t xml:space="preserve">          lays  stress  on  several   interesting    points   of  individual   peculiarity,    even         </w:t>
        <w:br/>
        <w:t xml:space="preserve">          where    the modes    of speech   of St.  Paul  appear   to be  adopted   by  St.  Peters         </w:t>
        <w:br/>
        <w:t xml:space="preserve">          e.g.,  in the  comparison    of   our  ch, ii. 24 with   Rom,    vi. 8—14,    where    St.        </w:t>
        <w:br/>
        <w:t xml:space="preserve">          Paul’s   “living   to  God”   would    have   been  equally   available   for  St. Peter,         </w:t>
        <w:br/>
        <w:t xml:space="preserve">          who    uses  “living   to  righteousness,”   whieh    on  account    of the   close com-          </w:t>
        <w:br/>
        <w:t xml:space="preserve">          parison   with   Christ   in  St.  Paul,  would    not   have   been   so  apposite    for        </w:t>
        <w:br/>
        <w:t xml:space="preserve">          him   : where   again   the  “dying    to sin”  (a different  word)   of St. Paul   is not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adopted    by  St,  Peter,  though     quite   as well   adapted    to  his  purpose    as        </w:t>
        <w:br/>
        <w:t xml:space="preserve">                   252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