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|                  2  PETER.                              (on.   xvin,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CHAPTER              XVIII                                        </w:t>
        <w:br/>
        <w:t xml:space="preserve">                            SHE    SECOND      EPISTLE      GENERAL       OF   PETER.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  I.                                         </w:t>
        <w:br/>
        <w:t xml:space="preserve">                        OBJECT,    CONTENTS,      AND    OCCASION     OR   THE   EPISTLE.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I  THINK    it best to  approach    the  difficult  question    of   the genuine-        </w:t>
        <w:br/>
        <w:t xml:space="preserve">            ness   of  this  Epistle,   by  a  consideration     of  the  internal   characteristics        </w:t>
        <w:br/>
        <w:t xml:space="preserve">            of  the  writing   itself.                                                                      </w:t>
        <w:br/>
        <w:t xml:space="preserve">               2.  Its general    object   is  nowhere     so  distinctly    declared,    as  that   of     </w:t>
        <w:br/>
        <w:t xml:space="preserve">            1  Peter   in v,  12  (ch.  iii. 1, 2 being   special).    But    the  two    concluding        </w:t>
        <w:br/>
        <w:t xml:space="preserve">            verses   contain  in  them   the  double   aim   which   has   been  apparent    through        </w:t>
        <w:br/>
        <w:t xml:space="preserve">            the  whole.     In  ii. 17  we   read,  “Knowing      before,   take  heed   lest ye being      </w:t>
        <w:br/>
        <w:t xml:space="preserve">            led away    with  the error   of  the wicked,    fall from   your   own    stedfastness,”       </w:t>
        <w:br/>
        <w:t xml:space="preserve">            and   in. iii, 18, “Grow     in  grace,   and   in  the  knowledge    of  our  Lord   and       </w:t>
        <w:br/>
        <w:t xml:space="preserve">            Saviour    Jesus  Christ.”     These    two,   the  prohibitory    and   the  hortatory,        </w:t>
        <w:br/>
        <w:t xml:space="preserve">            are  the  objects   of  the  Epistle.     The   former    is the   introduction    to  the      </w:t>
        <w:br/>
        <w:t xml:space="preserve">            latter, which,    as might    be expected,    is the  main   and   ultimate   aim.              </w:t>
        <w:br/>
        <w:t xml:space="preserve">               3.  And   this ultimate    aim  is apparent    from   the  very   beginning.     Ch.  i.     </w:t>
        <w:br/>
        <w:t xml:space="preserve">            1—11    is  devoted    to  fervent    enforcing    of  it.   Then    i. 12—21,     laying       </w:t>
        <w:br/>
        <w:t xml:space="preserve">            down   the  grounds    on  which    the  “knowledge”       rests,  viz. apostolic   testi-      </w:t>
        <w:br/>
        <w:t xml:space="preserve">            mony   and   prophetic   announcement,       forms   a transition   to the  description,        </w:t>
        <w:br/>
        <w:t xml:space="preserve">           ch.  ii., of the false  prophets   and   teachers   who   were   even   then   coming   in,      </w:t>
        <w:br/>
        <w:t xml:space="preserve">           and    should   wax   onward     in activity  and   influence.     Then   in  ch.  iii., the     </w:t>
        <w:br/>
        <w:t xml:space="preserve">           further   error   of fulse  teachers   in  scorning   and   disbelieving    the   promise        </w:t>
        <w:br/>
        <w:t xml:space="preserve">           of  the  coming     of  the  Lord   is  stigmatized    and   refuted,  and   the   Epistle       </w:t>
        <w:br/>
        <w:t xml:space="preserve">           concludes    with   a general    reference   to  the  Bpistles   of St. Paul,   as  teach-       </w:t>
        <w:br/>
        <w:t xml:space="preserve">           ing  these   same   truths,  and   as being    perverted    like  the  other   Scriptures        </w:t>
        <w:br/>
        <w:t xml:space="preserve">           by  the  ignorant    and  unstable.                                                              </w:t>
        <w:br/>
        <w:t xml:space="preserve">              Throughout      all, one  purpose    and   one  spirit is manifest.     The    “ know-        </w:t>
        <w:br/>
        <w:t xml:space="preserve">           ledge   of  our  Lord    and  Saviour    Jesus   Christ”    is ever   the   condition    of      </w:t>
        <w:br/>
        <w:t xml:space="preserve">           salvation   (ch.  i. 8;  ii. 20;  iii. 18).    Sometimes     we   have    it on  the  side       </w:t>
        <w:br/>
        <w:t xml:space="preserve">           of knowledge      of   the Father    who    hath  called   us  (i. 2, 3),  sometimes    on       </w:t>
        <w:br/>
        <w:t xml:space="preserve">           that  of  knowledge      of  the  gospel    as  the  way   of  righteousness      (ii. 21:       </w:t>
        <w:br/>
        <w:t xml:space="preserve">           compare      ii.     This   knowledge      is  the  central   point   of  the  Christian         </w:t>
        <w:br/>
        <w:t xml:space="preserve">           life, both  theoretically   and   practically   considered:    it is the  vehicle   of the       </w:t>
        <w:br/>
        <w:t xml:space="preserve">           divine  agency    in us,  and  ¢o  of our  highest   participation    of  God   (i. 3, 4):       </w:t>
        <w:br/>
        <w:t xml:space="preserve">           it is the  means    of eseape   from   the  pollutions   of  the  world   (ii, 20),—the          </w:t>
        <w:br/>
        <w:t xml:space="preserve">           crowning     point   of  Christian    virtues   (i. 8),—the     means    of  access   into       </w:t>
        <w:br/>
        <w:t xml:space="preserve">           Christ’s  kingdom     (i. 11).                                                                   </w:t>
        <w:br/>
        <w:t xml:space="preserve">                    256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