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§rv.J                           AUTHENTICITY.                         [yrropuction.                     </w:t>
        <w:br/>
        <w:t xml:space="preserve">                                                                                                            </w:t>
        <w:br/>
        <w:t xml:space="preserve">    the   identity  of  the   Writers,     Besides    which,    it halts  in  two  essential                </w:t>
        <w:br/>
        <w:t xml:space="preserve">    points.    For   1)  it is not altogether    correet  in its statement.      We   do find               </w:t>
        <w:br/>
        <w:t xml:space="preserve">    tho  Writer’s   view   of          prophecy    continued    from   one  Epistle  (1  Pet.               </w:t>
        <w:br/>
        <w:t xml:space="preserve">    i. 10—12)      to tho   other  (2  Pet.   i. 19—21;    iii,  2) :—the    new   birth   by               </w:t>
        <w:br/>
        <w:t xml:space="preserve">    the  divine  word,   whieh    in the  first Epistle   is alleged  as a motive    for put-               </w:t>
        <w:br/>
        <w:t xml:space="preserve">    ting  off  worldly  lusts  and  passions   (i, 22—ii,   2),  reappears    in the  second                </w:t>
        <w:br/>
        <w:t xml:space="preserve">    ini.  4:  the “virtues”    of Him    who   hath  called  them,   1 Pet.  ii. 9, reappear                </w:t>
        <w:br/>
        <w:t xml:space="preserve">    in  the  same   peculiar    form,   2  Pet.i.3:    if  we   read,   1 Pet.  iv. 17,  that               </w:t>
        <w:br/>
        <w:t xml:space="preserve">    judgment     is beginning    at  the house   of  God,   and  will  proceed    on  to  the               </w:t>
        <w:br/>
        <w:t xml:space="preserve">    disobedient,    we  read   of the   deccivers   in the  second    Epistle,  2  Pet.  ii. 3,             </w:t>
        <w:br/>
        <w:t xml:space="preserve">    that  their  judginent   is not  idle.   Other   instances   might   be  and  have  been                </w:t>
        <w:br/>
        <w:t xml:space="preserve">    produced,    showing    that  the  allegation   will  not  hold.    And    2)  it is  for-              </w:t>
        <w:br/>
        <w:t xml:space="preserve">    gotten   by   the  objectors,    that  it  would    be  only   in a  spurious    Epistle                </w:t>
        <w:br/>
        <w:t xml:space="preserve">    imitating   the  first, that  we  should    find such  reproductions     carefully   car-               </w:t>
        <w:br/>
        <w:t xml:space="preserve">    ried  out:  tho  occasion   and  object  of a second   genuine   Epistle   being  totally               </w:t>
        <w:br/>
        <w:t xml:space="preserve">    different,  forms   a very   sufficient  reason   why   they  should   not  be  found   to              </w:t>
        <w:br/>
        <w:t xml:space="preserve">    any  considerable     extent.                                                                           </w:t>
        <w:br/>
        <w:t xml:space="preserve">       20.  It   is again   objeeted,    that  whereas     in  the   former    Epistle    the               </w:t>
        <w:br/>
        <w:t xml:space="preserve">    sufferings   and   death   and   resurrection    of  Christ   were   brought    forward                 </w:t>
        <w:br/>
        <w:t xml:space="preserve">    frequently    and  insisted   on,—in    this, these   facts of  Redemption     are  alto-               </w:t>
        <w:br/>
        <w:t xml:space="preserve">    gether   put   into  the  background,      and   only  the   exalted   Christ   is in the               </w:t>
        <w:br/>
        <w:t xml:space="preserve">    view   of  the  Writer.     But    it is to  be  remembered       that  1)  in that  first              </w:t>
        <w:br/>
        <w:t xml:space="preserve">    Epistle   we   found    the  exalted    Person    of  our   Lord   mainly    before   the               </w:t>
        <w:br/>
        <w:t xml:space="preserve">    Apostle’s   eyes®:    that  2)  the differing   occasion   and   object  would   tend   to              </w:t>
        <w:br/>
        <w:t xml:space="preserve">    produce   just  the  diversity.  found   here,  where    there  is no  longer  any   pur-               </w:t>
        <w:br/>
        <w:t xml:space="preserve">    pose  of  comforting    under   persceution,    but  only  of  warning    against   error               </w:t>
        <w:br/>
        <w:t xml:space="preserve">    and   building   up  in knowledge      ; that  3) in  the  first Epistle,  where    « sal               </w:t>
        <w:br/>
        <w:t xml:space="preserve">    vation”   was   so  conspicuous    with   its facts  and  consequences,     our  Lord   is              </w:t>
        <w:br/>
        <w:t xml:space="preserve">    commonly     found   as  “ Christ”    simply  (i. 11, 19;   ii. 21; iii. 15, “the   Lord                </w:t>
        <w:br/>
        <w:t xml:space="preserve">    Christ”),    or  “  Jesus   Christ”    (i. 1, 2, 3, 7,  13;  ii. 5; iii, 21;  iv. 11), or               </w:t>
        <w:br/>
        <w:t xml:space="preserve">    “ Christ  Jesus”   (v.10)   ; whereas    in the  second,  where    “ salvation”   hardly                </w:t>
        <w:br/>
        <w:t xml:space="preserve">    appears   (iii. 15), He   is ordinarily   “  our  Lord”    (or  God?)    “and   Saviour                 </w:t>
        <w:br/>
        <w:t xml:space="preserve">    Jesus   Christ”    (i. [1,]  11;  ii, 20;   iii. 18), or  “our   Lord    Jesus   Christ”                </w:t>
        <w:br/>
        <w:t xml:space="preserve">    (i. 2 [Jesus    our   Lord”],    8, 14, 16):   but  never  simply    “ Christ,”   “ Jesus               </w:t>
        <w:br/>
        <w:t xml:space="preserve">    Christ,”  or  “ Christ Jesus.”   This,  which   has  becn  also alleged  asagainst    the               </w:t>
        <w:br/>
        <w:t xml:space="preserve">    identity  of  writers,  is, I  submit,   strikingly   characteristic   of  the  different               </w:t>
        <w:br/>
        <w:t xml:space="preserve">    -ealmsofthoughtofthe         two  Epistles.     In the  first, it is community    of  suf-              </w:t>
        <w:br/>
        <w:t xml:space="preserve">    fering   and  glorification  with   Him,    which   is to give  encouragement      :  His               </w:t>
        <w:br/>
        <w:t xml:space="preserve">    lordlyand    glorious   titles ave dropped,   and  his office (“Christ”)   or combined                  </w:t>
        <w:br/>
        <w:t xml:space="preserve">    Person    and   office  (“ Jesus   Christ,”   or  “ Christ   Jesus”)   is ever  brought                 </w:t>
        <w:br/>
        <w:t xml:space="preserve">    forward.      But  in  this second,   where    warning,   and   caution  against   rebel-               </w:t>
        <w:br/>
        <w:t xml:space="preserve">    lion  are  mainly   in view,  we  are  ever  reminded    of      lordship   by  “Lord,”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8 See above,  chi.                                                        </w:t>
        <w:br/>
        <w:t xml:space="preserve">             269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