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§1v.J                          AUTHENTICITY.                         {anrropvcrion.                      </w:t>
        <w:br/>
        <w:t xml:space="preserve">                                                                                                            </w:t>
        <w:br/>
        <w:t xml:space="preserve">  words    can  only  represent    as many    of them   as  the Writer    had  seen:    and                 </w:t>
        <w:br/>
        <w:t xml:space="preserve">  that  it is equally  unjustifiable   to gather  from   what   follows,  that  the  sacred                 </w:t>
        <w:br/>
        <w:t xml:space="preserve">  canon   of  the  New    Test.  was   at  that  time  settled.    ‘Those   words   cannot                  </w:t>
        <w:br/>
        <w:t xml:space="preserve">  imply   more,   than  that  there  were    certain  writings   by  Christian   teachers,                  </w:t>
        <w:br/>
        <w:t xml:space="preserve">  which    were   reckoned    as  on   a level  with   the  Old   Test.  Scriptures,    and                 </w:t>
        <w:br/>
        <w:t xml:space="preserve">  ealled   by  the  same   name   (see  note  there).    And    that  that  was   the ease,                 </w:t>
        <w:br/>
        <w:t xml:space="preserve">  even   in the  traditional   lifetime  of St. Peter,   it would   be  surely  unreason-                   </w:t>
        <w:br/>
        <w:t xml:space="preserve">  able  to  deny.                                                                                           </w:t>
        <w:br/>
        <w:t xml:space="preserve">     25.   The   diversity   of  style   in  the  two   Epistles   has   been   frequently                  </w:t>
        <w:br/>
        <w:t xml:space="preserve">  alleged*.     But   on  going   through    all that  has  been   said, I  own   I cannot                  </w:t>
        <w:br/>
        <w:t xml:space="preserve">  regard    it, considerable    as  it undoubtedly     is, as  any  more   than   ean  well                 </w:t>
        <w:br/>
        <w:t xml:space="preserve">  be   accounted    for  by  the   total diversity   of  subject   and  mood   in  the  two                 </w:t>
        <w:br/>
        <w:t xml:space="preserve">  Epistles,   and  by   the  interweaving     into this  second    one  of  copious   remi-                 </w:t>
        <w:br/>
        <w:t xml:space="preserve">   niscences   from  another   Epistle.    Some   of  the differences   we   have  already                  </w:t>
        <w:br/>
        <w:t xml:space="preserve">   spoken   of, when    treating  of  the  titles and   names   of  our  Lord   appearing                   </w:t>
        <w:br/>
        <w:t xml:space="preserve">   in the  two  Epistles   ; and   have  found    them   amply    accounted    for  by   the                </w:t>
        <w:br/>
        <w:t xml:space="preserve">  above   reasons.     The   same   might   be said  of the  terms  used  for  the coming                   </w:t>
        <w:br/>
        <w:t xml:space="preserve">   of our  Lord,—*     revelation”    and   “revealing”    in  the   first Epistle,   pre-                  </w:t>
        <w:br/>
        <w:t xml:space="preserve">   sence,”  “ day  of  the Lord,”    “ day  of judgment”      in this?:   the  same   again                 </w:t>
        <w:br/>
        <w:t xml:space="preserve">   of the  prevalence    of “hope”     in  the former    Epistle,  and   of “ knowledge”                    </w:t>
        <w:br/>
        <w:t xml:space="preserve">   in this.   Some    of the  objections   adduced    on  this  head   are  without   foun-                 </w:t>
        <w:br/>
        <w:t xml:space="preserve">   dation  in  fact,  e. g. that  which    Davidson    admits,   that  whereas     “in   the                </w:t>
        <w:br/>
        <w:t xml:space="preserve">   first Epistle  the  Writer    makes    considerable    use  of  the  Old  Test.,  incor-                 </w:t>
        <w:br/>
        <w:t xml:space="preserve">   porating   its  sentiments    and   diction   into   his  own   composition;      in  the                </w:t>
        <w:br/>
        <w:t xml:space="preserve">   second   there  is hardly  a reference    to the Jewish    Scriptures.”     What    then                 </w:t>
        <w:br/>
        <w:t xml:space="preserve">   are we   to say  of  ch.i.19—21;      ii.  1, 5,6,7f,    15f,    22;  ii.  2,4,  5£,   8,                </w:t>
        <w:br/>
        <w:t xml:space="preserve">   13?    May    not  it  be  said  that   although    the   second   Epistle,   from    the                </w:t>
        <w:br/>
        <w:t xml:space="preserve">   nature   of  the  case,   does  not   require   so  many    references    to  the   new-                 </w:t>
        <w:br/>
        <w:t xml:space="preserve">   begetting   word,   yet  the  mind   of  the  Writer   was   equally   full of  its facts                </w:t>
        <w:br/>
        <w:t xml:space="preserve">   and  sentiments    ?                                                                                     </w:t>
        <w:br/>
        <w:t xml:space="preserve">      26.  Some    of the  points  of  resemblance    between    the  two   Epistles   have                 </w:t>
        <w:br/>
        <w:t xml:space="preserve">   been  very   fairly  stated   by  Davidson     and   by  Briickner:     and   the  latter                </w:t>
        <w:br/>
        <w:t xml:space="preserve">   writer   has  corrected    the  over-statements      of Dietlein.     Of  these  coinci-                 </w:t>
        <w:br/>
        <w:t xml:space="preserve">   dences,   “virtue,”   as  applied   to  God,   has  been  already    noticed.    Others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 See note on  the place.                           2 See Jerome,  above,  par. 12,                    </w:t>
        <w:br/>
        <w:t xml:space="preserve">     3 Davidson,  p. 433, treats this       as insufficient, “because the phraseology  is not               </w:t>
        <w:br/>
        <w:t xml:space="preserve">   confined to that  part of the  Epistle which  is directed against the false teachers, and                </w:t>
        <w:br/>
        <w:t xml:space="preserve">   the Epistle was not wholly  or chicfly written to threaten the enomics  of the truth with                </w:t>
        <w:br/>
        <w:t xml:space="preserve">   the dreadful  day of the  Lord.   It was  the writer’s object to establish and comfort, as               </w:t>
        <w:br/>
        <w:t xml:space="preserve">   well as to terrify.” But  surely we  may  fairly say, that the spirit in which the Writer                </w:t>
        <w:br/>
        <w:t xml:space="preserve">   set himself to  compose  his Epistle, which  is evident from  the ruling tone  of it being               </w:t>
        <w:br/>
        <w:t xml:space="preserve">   warning  and  denunciatory,  would  of  necessity modify  the  terms  in which  he  intro-               </w:t>
        <w:br/>
        <w:t xml:space="preserve">   duced  those doctrines and  expectations which  formed  the ground  of his exhortation  or               </w:t>
        <w:br/>
        <w:t xml:space="preserve">   prophecy.                                                                                                </w:t>
        <w:br/>
        <w:t xml:space="preserve">            271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