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]                   1 JOHN.                                 (on.  xix.      </w:t>
        <w:br/>
        <w:t xml:space="preserve">                                                                                                            </w:t>
        <w:br/>
        <w:t xml:space="preserve">             so enters   and   takes   it up   as  that  the  end   ofa   former   part   is also  the      </w:t>
        <w:br/>
        <w:t xml:space="preserve">             beginning     of  that  which     follows.”     The    same    style  prevails    in  the      </w:t>
        <w:br/>
        <w:t xml:space="preserve">             Epistle,    It  is not however     an  infirmity   of age,  but  a peculiarity,   which        </w:t>
        <w:br/>
        <w:t xml:space="preserve">             might   belong   to extreme    youth   just  as  well.                                         </w:t>
        <w:br/>
        <w:t xml:space="preserve">                24,  The    greater   amount    of  repetition   in  the  Epistle    arises  from   its     </w:t>
        <w:br/>
        <w:t xml:space="preserve">             being   more    hortatory     and   tender   in  character,     And    it may    also  be      </w:t>
        <w:br/>
        <w:t xml:space="preserve">             attributed    to  its more    Hebraistie     form,   in  which    it  differs  from   the      </w:t>
        <w:br/>
        <w:t xml:space="preserve">             Grecian    and   dialectic   style   of  St.  Paul:    abounding     in   parallels   and      </w:t>
        <w:br/>
        <w:t xml:space="preserve">             apparent    arguings    ina   circle,    The   epistolary   form   would    account    for     </w:t>
        <w:br/>
        <w:t xml:space="preserve">             the  want   of strict arrangement      in order,  which   would    hardly   be observed.       </w:t>
        <w:br/>
        <w:t xml:space="preserve">             by  the  youngest    any  more   than   by  the  oldest  writer.                               </w:t>
        <w:br/>
        <w:t xml:space="preserve">                25.  And     the  appearance     of  uniformity,    partly   accounted    for  by  the      </w:t>
        <w:br/>
        <w:t xml:space="preserve">             oneness    of  subject   and   simplicity   of  spirit,  is often   produced    by  want       </w:t>
        <w:br/>
        <w:t xml:space="preserve">             of deep   enough    penetration    of  the  sense  to  discover   the  real  differences       </w:t>
        <w:br/>
        <w:t xml:space="preserve">             in  passages   which    scem    to express    the   same.    Besides,    even   granting       </w:t>
        <w:br/>
        <w:t xml:space="preserve">             these   marks   of  old  age,  what   argument     would    they  furnish   against   the      </w:t>
        <w:br/>
        <w:t xml:space="preserve">             genuineness     ?   St.  John   was   quite   old  enough     at and   after   the  siege      </w:t>
        <w:br/>
        <w:t xml:space="preserve">             of Jerusalem     for  such  to  have  shewn     themselves    : so  that  this objection       </w:t>
        <w:br/>
        <w:t xml:space="preserve">             must    be  dealt  with  on  other   grounds,    and    does  not   affect  our  present       </w:t>
        <w:br/>
        <w:t xml:space="preserve">             question,                                                                                      </w:t>
        <w:br/>
        <w:t xml:space="preserve">                26.   Fourthly,   it is quite   a mistake   to  suppose    that  if the  Epistle   was      </w:t>
        <w:br/>
        <w:t xml:space="preserve">             written   after  the  destruction    of Jerusalem,     that  event   must    necessarily       </w:t>
        <w:br/>
        <w:t xml:space="preserve">             have    been   intimated    in  ch.  ii. 18.   It  cannot    be   proved,   nor   does   it    </w:t>
        <w:br/>
        <w:t xml:space="preserve">             seem    likely  from   the  notices  of  the  coming    of  the  Lord   in  the  Gospel,       </w:t>
        <w:br/>
        <w:t xml:space="preserve">             that  St.  John   connected     the  “  last hour”   with   the   destruction   of  Jeru-      </w:t>
        <w:br/>
        <w:t xml:space="preserve">             salem.     It does  not  scem   likely that,  writing   to Christians   of  Asia  Minor,       </w:t>
        <w:br/>
        <w:t xml:space="preserve">             who   probably    from   the  first had  a  wider   view  of  our  Lord’s   prophecy    of     </w:t>
        <w:br/>
        <w:t xml:space="preserve">             the  end,   he  should   have   felt bound    to make   a  corrective    allusion  to  the     </w:t>
        <w:br/>
        <w:t xml:space="preserve">             event,   even   supposing    he  himself   had  once   identified  it with   the  time  of     </w:t>
        <w:br/>
        <w:t xml:space="preserve">             the  end.     They  would    not  require   to be  told, why   the  universal    triumph       </w:t>
        <w:br/>
        <w:t xml:space="preserve">             of  Christianity    had  not  followed   it, seeing   they  probably    never   expected       </w:t>
        <w:br/>
        <w:t xml:space="preserve">              it to do  so.                                                                                 </w:t>
        <w:br/>
        <w:t xml:space="preserve">                 27.  So   that  Lange’s     objections,  which     I have    reported    frecly  from      </w:t>
        <w:br/>
        <w:t xml:space="preserve">              Liicke,  as  being   highly   illustrative   of the  character    of the  Epistle,   cer-     </w:t>
        <w:br/>
        <w:t xml:space="preserve">              tainly  do   not  succeed    in  impugning      the   verdiet   of  antiquity,    or  the     </w:t>
        <w:br/>
        <w:t xml:space="preserve">              evidence   furnished    by  the  Epistle   itself.                                            </w:t>
        <w:br/>
        <w:t xml:space="preserve">                 28.  The   objections   brought    by  Bretschneider,     formed    on  the  doctrine      </w:t>
        <w:br/>
        <w:t xml:space="preserve">              of the  logos  (Word),    and   the  antidocetie    tendency    manifest    both   in the     </w:t>
        <w:br/>
        <w:t xml:space="preserve">              Epistle  and   the  Gospel,   and   betraying   both   as  works   of  the second    cen-     </w:t>
        <w:br/>
        <w:t xml:space="preserve">              tury,  have  also  been   shewn    by  Liicke   to be  untenable.     The   doctrine   of     </w:t>
        <w:br/>
        <w:t xml:space="preserve">              the  Word,   though    formally   nounced      by  St. John    only, is  in fact that  of     </w:t>
        <w:br/>
        <w:t xml:space="preserve">              St. Paul   in  Col.  i. 15 ff, and   that  of  the   author   of  the   Epistle   to  the     </w:t>
        <w:br/>
        <w:t xml:space="preserve">              Ilebrews    i. 1 ff.,     was  unquestionably      prepared   for  Christian   use  long      </w:t>
        <w:br/>
        <w:t xml:space="preserve">              before,   in the   Alexandrine      Jewish    theology.      And    though    Doeetism        </w:t>
        <w:br/>
        <w:t xml:space="preserve">                       278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