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1]         FOR     WHAT        READERS         WRITTEN.             [inrropucttoy.                    </w:t>
        <w:br/>
        <w:t xml:space="preserve">                                                                                                            </w:t>
        <w:br/>
        <w:t xml:space="preserve">   itself  may  haye   been  the  growth    of the  second   century,    yet  the germs   of                </w:t>
        <w:br/>
        <w:t xml:space="preserve">   it, which   are  opposed     in this  Epistle,    were   apparent    long   before.    A                 </w:t>
        <w:br/>
        <w:t xml:space="preserve">   groundless    assumption    of  Bretschneider     is, that seeing   the  three  Epistles                 </w:t>
        <w:br/>
        <w:t xml:space="preserve">  are  by  the  same    hand,  and   the   writer   of  the  second    and   third,  where                  </w:t>
        <w:br/>
        <w:t xml:space="preserve">   there  was   no  ground    for  concealing    himself,   calls  himself    “the   elder”                 </w:t>
        <w:br/>
        <w:t xml:space="preserve">   (“presbyter”),—the        first  Epistle,   where,   wishing    to  be  taken    for  the                </w:t>
        <w:br/>
        <w:t xml:space="preserve">  Apostle,    he  does  not  name    himself,  is also  by Johu    the  Presbyter.      The                 </w:t>
        <w:br/>
        <w:t xml:space="preserve">  answer    to which    is, that  we  can  by  no  means    consent   to  the  assumption                   </w:t>
        <w:br/>
        <w:t xml:space="preserve">  that  the  so-called   Presbyter    John    was  the  author   of      second  and   third                </w:t>
        <w:br/>
        <w:t xml:space="preserve">  Epistles   : see  the  Introduction     to 2 and   3 John,    § i. 2, 12  ff.                             </w:t>
        <w:br/>
        <w:t xml:space="preserve">     29.   The   objections     brought     against    our   Epistle    by   the   modern                   </w:t>
        <w:br/>
        <w:t xml:space="preserve">  Tiibingen    school   are  dealt  with   at  considerable    length    by  Diisterdieck.                  </w:t>
        <w:br/>
        <w:t xml:space="preserve">  It  is not  my  purpose    to enter   on  them   here.    For   mere  English    readers,                 </w:t>
        <w:br/>
        <w:t xml:space="preserve">  it would    require   an  introduction    far longer   than   that which    Diisterdieck                  </w:t>
        <w:br/>
        <w:t xml:space="preserve">  has  devoted    to it, at all to  enable   them   to appreciate    the  nature   of those                 </w:t>
        <w:br/>
        <w:t xml:space="preserve">  objections    and   the   postulates    from   which    they   spring,    And    when    I                </w:t>
        <w:br/>
        <w:t xml:space="preserve">  inform    such   English    readers   that   the  first of  those    postulates    is  the                </w:t>
        <w:br/>
        <w:t xml:space="preserve">  denial   of a personal    God,   they  will  probably   not  foel  that they   have   lost                </w:t>
        <w:br/>
        <w:t xml:space="preserve">  much    by  not  having    the  refutation    of  the  objections    laid  before   them.                 </w:t>
        <w:br/>
        <w:t xml:space="preserve">  Should    any   regret   it, they   may    find  some    of  them   briefly  noticed    in                </w:t>
        <w:br/>
        <w:t xml:space="preserve">  Dr.  Davidson’s     Introduction,   vol.  iii. pp. 45+  ff  : and  they   will there   sce                </w:t>
        <w:br/>
        <w:t xml:space="preserve">  how   feeble  and   futile they   are.                                                                    </w:t>
        <w:br/>
        <w:t xml:space="preserve">     30.  Whether     then   we  approach     the  question   of the  authorship    of  this                </w:t>
        <w:br/>
        <w:t xml:space="preserve">  Epistle   (and   its consequent     canonicity)    from   the  side  of  external   testi-                </w:t>
        <w:br/>
        <w:t xml:space="preserve">  mony,   or  of  internal   evidence,   we   are  alike   convinced    that  its claim   to                </w:t>
        <w:br/>
        <w:t xml:space="preserve">  have   been    written   by   the  Evangelist     St. John,   and   to  its place  in tho                 </w:t>
        <w:br/>
        <w:t xml:space="preserve">  canon   of  Scripture,   is fully  substantiated,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II.                                                    </w:t>
        <w:br/>
        <w:t xml:space="preserve">                      FOR   WHAT     READERS     IT  WAS    WRITTEN.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1,  This  question,    in the  case  of our   Epistle,  might   be  very   easily  and                 </w:t>
        <w:br/>
        <w:t xml:space="preserve">  briefly  dealt  with,  were   it not  for  one  apparent     mistake,   which    compli-                  </w:t>
        <w:br/>
        <w:t xml:space="preserve">  cates  it.                                                                                                </w:t>
        <w:br/>
        <w:t xml:space="preserve">     In  Augustine     we  read,  “  Agreeable    to  this  opinion   is also  that which                   </w:t>
        <w:br/>
        <w:t xml:space="preserve">  is  said  by  John    in  the   Epistle   to  the  Parthians    ;’  and   then   follows                  </w:t>
        <w:br/>
        <w:t xml:space="preserve">  1 John    iii. 2,  This   appears   to  he  the only  place  in  Angustine’s    writings                  </w:t>
        <w:br/>
        <w:t xml:space="preserve">  where   he  thus  characterizes    it.   The  inscription   ‘To    the Parthians    ” has                 </w:t>
        <w:br/>
        <w:t xml:space="preserve">  fonnd   its  way   into  some    of the  Benedictine     editions   in the   title of the                 </w:t>
        <w:br/>
        <w:t xml:space="preserve">  ‘Tractates   on  the Epistle   :  but  it seems   not to have   been  originally   there.                 </w:t>
        <w:br/>
        <w:t xml:space="preserve">  It has  been   repeated   by  some   of  the  Latin   fathers.                                            </w:t>
        <w:br/>
        <w:t xml:space="preserve">     2.  Some,   but  very  few  writers,   have  assumed     as a  fact that  the Epistle                  </w:t>
        <w:br/>
        <w:t xml:space="preserve">        Vou.   II,    Parr    II.—279                                          t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