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m1.)                      ITS   RELATION,          &amp;e.              [intropvction.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nished   by  aneient   tradition,   can  only   be fond     in the  case  of  St.  John,                </w:t>
        <w:br/>
        <w:t xml:space="preserve">    by  believing   the  readers   to  have   been   members     of  the  churches    at and                </w:t>
        <w:br/>
        <w:t xml:space="preserve">    round   Ephesus,    where   ho  lived  and   taught.                                                    </w:t>
        <w:br/>
        <w:t xml:space="preserve">       7. The    character   of  the  Epistle   is too general    to  admit   a comparison                  </w:t>
        <w:br/>
        <w:t xml:space="preserve">    between    it and  the Ephesian    Epistle   in the  Apocalypse,    which    some   have                </w:t>
        <w:br/>
        <w:t xml:space="preserve">    endeavoured     to  institute.    Our   Epistle  contains    absolutely    no materials                 </w:t>
        <w:br/>
        <w:t xml:space="preserve">    on  which   such  a  comparison     can  proceed.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 II.                                                   </w:t>
        <w:br/>
        <w:t xml:space="preserve">                   ITS  RELATION      TO   THE   GOSPEL     OF   ST.  JONN.   ~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1, As   introductory    to  this enquiry,    it will be  well  to  give  an  account                 </w:t>
        <w:br/>
        <w:t xml:space="preserve">   of  opinions   respecting    the  epistolary  form   of  this canonical    book.                         </w:t>
        <w:br/>
        <w:t xml:space="preserve">      2.  This  was   always    taken  for  granted,   secing  that  definite  readers   and                </w:t>
        <w:br/>
        <w:t xml:space="preserve">   their  circumstances     are  continually    present,  and  that  the  first and  second                 </w:t>
        <w:br/>
        <w:t xml:space="preserve">   persons    plural  are  constantly    used  ‘,—until    Michaclis*    maintained      that               </w:t>
        <w:br/>
        <w:t xml:space="preserve">   it is rather   a treatise,  or a  book,   than  a  letter;  and   only  so  far a  letter,               </w:t>
        <w:br/>
        <w:t xml:space="preserve">   as  any   treatise   may    be   addressed     to  certain   readers,   e.g.   the   Acts                </w:t>
        <w:br/>
        <w:t xml:space="preserve">   to  Theophilus.      Accordingly,      he  holds   this  to be  a  second    part  of  the               </w:t>
        <w:br/>
        <w:t xml:space="preserve">   Gospel.                                                                                                  </w:t>
        <w:br/>
        <w:t xml:space="preserve">      3.  As   Liicke  remarks,    it is  of great   importance     whether    we  consider                 </w:t>
        <w:br/>
        <w:t xml:space="preserve">   the  writing    as  an  Epistle   or  not.    Our    decision   on  this   point   affects               </w:t>
        <w:br/>
        <w:t xml:space="preserve">   both   our   estimate    of  it, and    our  exposition.      Surely,    however,     the                </w:t>
        <w:br/>
        <w:t xml:space="preserve">   question     is  not   difficult   to  decide.     We    may     fairly  reply    to  tho                </w:t>
        <w:br/>
        <w:t xml:space="preserve">   hypothesis     which     supposes     the  Epistle    to  be  a  second    part   of  the                </w:t>
        <w:br/>
        <w:t xml:space="preserve">   Gospel,    that  the   Gospel    is  complete     in itself   and   requires    no   such                </w:t>
        <w:br/>
        <w:t xml:space="preserve">   supplement     ; see  John   xx.  30,  31,  where   the  practical   object  also  of the                </w:t>
        <w:br/>
        <w:t xml:space="preserve">   Gospel    is too plainly   asserted,   for  us  to  suppose    this to  be its practical                 </w:t>
        <w:br/>
        <w:t xml:space="preserve">   sequel.                                                                                                  </w:t>
        <w:br/>
        <w:t xml:space="preserve">      4.  To  view    it again   as a preface    aud   introduction    to  the  Gospel,    as               </w:t>
        <w:br/>
        <w:t xml:space="preserve">   Hug,   seems    not  to  be  borne   out  by  the  spirit  of  either   writing.     The                 </w:t>
        <w:br/>
        <w:t xml:space="preserve">   Gospel    requires   no  such  introduction:      the  Epistle   furnishes   none   such.                </w:t>
        <w:br/>
        <w:t xml:space="preserve">   They    do  not  in a  word   stand   in  any   external   relation    to one   another,                 </w:t>
        <w:br/>
        <w:t xml:space="preserve">   such   as is imagined    by  every   one   of these  hypotheses.                                         </w:t>
        <w:br/>
        <w:t xml:space="preserve">      5.  Hug    fancied    he  found   a   trace  of  the  Epistle   having    once   been                 </w:t>
        <w:br/>
        <w:t xml:space="preserve">   appended     to the   Gospel,    in the  Latin   version   attached    to  Beza’s   great                </w:t>
        <w:br/>
        <w:t xml:space="preserve">   MS.   now    at Cambridge.        There,   on  the   back  of  the  leaf  on  which   the                </w:t>
        <w:br/>
        <w:t xml:space="preserve">   Acts   of  the  Apostles     begin,   the  copyist    has  written    the  last  column                  </w:t>
        <w:br/>
        <w:t xml:space="preserve">   of  3 John,    with   this  subscription:     “Here     end    the  three   Epistles    of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® Compare   ch. ii.  7, 13, 14, 18, 28; iii. 18,    iv. 1, 7, 11, be.                          </w:t>
        <w:br/>
        <w:t xml:space="preserve">             © Introd. to New   Test., Marsh’s translation, vol. iv.  400.                                  </w:t>
        <w:br/>
        <w:t xml:space="preserve">            281                               t2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