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1  JOHN.                                 [en.  xix.        </w:t>
        <w:br/>
        <w:t xml:space="preserve">                                                                                                            </w:t>
        <w:br/>
        <w:t xml:space="preserve">           John:    here  beginneth    the  Acts   of the  Apostles.”      But   first, this proves         </w:t>
        <w:br/>
        <w:t xml:space="preserve">           too  mueh,   secing   that   all  three  Epistles   of  St.  John   are  included,    and        </w:t>
        <w:br/>
        <w:t xml:space="preserve">           surely  Hug   does   not  suppose   the  second   and   third  Epistles   to  have  been         </w:t>
        <w:br/>
        <w:t xml:space="preserve">           also  sequels   to  the  Gospel:     and   secondly,    this very   circumstance,     the        </w:t>
        <w:br/>
        <w:t xml:space="preserve">           inclusion   of  all  three   Epistles,   shews   the   reason   of  the   arrangement,           </w:t>
        <w:br/>
        <w:t xml:space="preserve">           viz., to place   together   the  writings   of  the  same   Apostle.                             </w:t>
        <w:br/>
        <w:t xml:space="preserve">              6. The    writing   then  is to  be  regarded    as an  Epistle,   as it usually   has        </w:t>
        <w:br/>
        <w:t xml:space="preserve">           been;   and   no   closer  external    relation   to   the  Gospel    must    be  sought         </w:t>
        <w:br/>
        <w:t xml:space="preserve">           for.                                                                                             </w:t>
        <w:br/>
        <w:t xml:space="preserve">              But,  this  being    premised,    a very   interesting   question    follows.     The         </w:t>
        <w:br/>
        <w:t xml:space="preserve">           two  writings    are   internally   related,  in  a  remarkable     manner.       Do  the        </w:t>
        <w:br/>
        <w:t xml:space="preserve">           phznomena       of  this  relation   point   out  the   Gospel,    or  the   Epistle,   as       </w:t>
        <w:br/>
        <w:t xml:space="preserve">           having   been   first written   ?                                                                </w:t>
        <w:br/>
        <w:t xml:space="preserve">              7. And    to this  question    there   can  I think   be   but  one  answer.      The         </w:t>
        <w:br/>
        <w:t xml:space="preserve">           Epistle  again   and   again  assumes,    on  the  part  of its readers,   an  acquaint-         </w:t>
        <w:br/>
        <w:t xml:space="preserve">           ance  with   the  facts  of the  Gospel    narrative.     Liicke   well  remarks,    that        </w:t>
        <w:br/>
        <w:t xml:space="preserve">           “as   a  rule,  the  shorter,   more    concentrated     expression     of  one  and  the        </w:t>
        <w:br/>
        <w:t xml:space="preserve">           same   writer,  especially   when    ideas  peculiar   to him   are  concerned,    is the        </w:t>
        <w:br/>
        <w:t xml:space="preserve">           later, while   the  more   explicit  one,  which    first unfolds   and  puts   in shape         </w:t>
        <w:br/>
        <w:t xml:space="preserve">           the  idea,  is  the  earlier   one.”    And    he   finds  examples     of  this  in  the        </w:t>
        <w:br/>
        <w:t xml:space="preserve">          abbreviated     formule    of ch.  i, 1, 2, as  compared     with  John    i. 1 ff. ; iv. 2,      </w:t>
        <w:br/>
        <w:t xml:space="preserve">          compared     with   John   i. 14.                                                                 </w:t>
        <w:br/>
        <w:t xml:space="preserve">              8. Other    considerations     connected    with   this  part  of  our   subject  will        </w:t>
        <w:br/>
        <w:t xml:space="preserve">           be found   treated   in the  next   section.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 Iv.                                           </w:t>
        <w:br/>
        <w:t xml:space="preserve">                                    TIME   AND    PLACE    OF   WRITING.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On   both   of  these,  opinions   have   been   much    divided:   no  sure  indi-        </w:t>
        <w:br/>
        <w:t xml:space="preserve">           cations  being   furnished   by   the Epistle   itself.   If however     we   have  heen         </w:t>
        <w:br/>
        <w:t xml:space="preserve">           right  in assigning    to it a date  subsequent     to that  of  the  Gospel,   we  shall        </w:t>
        <w:br/>
        <w:t xml:space="preserve">           bring  that   date,  by  what    has  been   said   in  the  Introduction     to  Vol.  I.       </w:t>
        <w:br/>
        <w:t xml:space="preserve">           ch, v.  § iv. (where   fifteen  years,   A.D. 70—85,     are  shewn   to  have   marked          </w:t>
        <w:br/>
        <w:t xml:space="preserve">           the  probable    limits  of  the  time  of  the  writing   of  the  Gospel),    within   a       </w:t>
        <w:br/>
        <w:t xml:space="preserve">           time  not  earlier   than  perhaps    about  the  middle    of  the  eighth   decade    of       </w:t>
        <w:br/>
        <w:t xml:space="preserve">           the  first  century:   and   extending     as  late  as  the   traditional   age  of  the        </w:t>
        <w:br/>
        <w:t xml:space="preserve">           Apostle   himself.                                                                               </w:t>
        <w:br/>
        <w:t xml:space="preserve">              2.  Some   have   imagined    that  the  Epistle   betrays   marks   of the  extreme          </w:t>
        <w:br/>
        <w:t xml:space="preserve">           old age  of  the writer.    But  such   inferences   are very  fallacious,     Certainly         </w:t>
        <w:br/>
        <w:t xml:space="preserve">           the  repeated    use   of  “little  children,”   more    frequently    than   any  other         </w:t>
        <w:br/>
        <w:t xml:space="preserve">           term  of  endearing    address,    seems   to point   to  an  aged   writer:   but  even         </w:t>
        <w:br/>
        <w:t xml:space="preserve">           this is insecure.                                                                                </w:t>
        <w:br/>
        <w:t xml:space="preserve">                    282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