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§v.]          CONTENTS           AND      ARRANGEMENT.                [iyrropucrion.                   </w:t>
        <w:br/>
        <w:t xml:space="preserve">                                                                                                            </w:t>
        <w:br/>
        <w:t xml:space="preserve">        2,  Again    it has   been   fancied   that  tho   words,    “it  is the  last  time,”              </w:t>
        <w:br/>
        <w:t xml:space="preserve">     ch,   ii. 18,  furnish   a  note   of   time;    and   must    be  understood     of   the             </w:t>
        <w:br/>
        <w:t xml:space="preserve">     approaching     destruction    of  Jernsalem.       But   as Liicke    replies,  this ex-              </w:t>
        <w:br/>
        <w:t xml:space="preserve">     pression    is used   simply   in  reference    to  the  appearance    of  antichristian               </w:t>
        <w:br/>
        <w:t xml:space="preserve">     teachers,   and   the  apprehension      thence   arising   that   the  coming     of  the             </w:t>
        <w:br/>
        <w:t xml:space="preserve">     Lord    was   at  hand.     So  that   we   have   no   more   right   to  infer  a  note              </w:t>
        <w:br/>
        <w:t xml:space="preserve">     of time   from   it, than  from   similar   expressions     in  St. Paul,   e. g. 1  Tim.              </w:t>
        <w:br/>
        <w:t xml:space="preserve">     iv. 1;   2 Tim.   iii. 1.                                                                              </w:t>
        <w:br/>
        <w:t xml:space="preserve">        4,  As   to  the  place  of  writing,   we   are  just  as  much     in uncertainty.                </w:t>
        <w:br/>
        <w:t xml:space="preserve">     ‘The  Gospel    (Vol.  I. Introd.   ch. v. §  iv.) is said  by  Irenaus    to have   been              </w:t>
        <w:br/>
        <w:t xml:space="preserve">     written   at Ephesus.       And   ancient    tradition,  if at  least  represented     by              </w:t>
        <w:br/>
        <w:t xml:space="preserve">     the  subscriptions    to  the Epistle,   seems   to have   placed   the  writing   of  the             </w:t>
        <w:br/>
        <w:t xml:space="preserve">     Epistle   there  also.    Further,    it is impossible   to  say.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   V.                                                 </w:t>
        <w:br/>
        <w:t xml:space="preserve">                                CONTENTS.     AND   ARRANGEMENT.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1.  This    Epistle,   from    its  aphoristic     and   apparently      tautological               </w:t>
        <w:br/>
        <w:t xml:space="preserve">     character,   is exceedingly     difficult  to arrange    as  a continuous    contextual                </w:t>
        <w:br/>
        <w:t xml:space="preserve">     whole.     Some    indeed   from   this  have   been  induced    to believe   that  there              </w:t>
        <w:br/>
        <w:t xml:space="preserve">     is no  such   contextual    connexion     in the  Epistle.     So  Calvin,  Episcopius,                </w:t>
        <w:br/>
        <w:t xml:space="preserve">     and  others.     And   this  seems,   up  to the  beginning    of  the  last century,   to             </w:t>
        <w:br/>
        <w:t xml:space="preserve">     have   been  the  prevailing    view.     About    that  time,  Sebastian    Schmid,    in             </w:t>
        <w:br/>
        <w:t xml:space="preserve">     his  commentary       on  the  Epistle,   maintained,     but   only   tentatively    and              </w:t>
        <w:br/>
        <w:t xml:space="preserve">     timidly,   that  there  is a  logical  and  contextnal     arrangement.       The   same               </w:t>
        <w:br/>
        <w:t xml:space="preserve">     side  was  taken   up   with  more    decision  by  Oporinus     of Géttingen.                         </w:t>
        <w:br/>
        <w:t xml:space="preserve">        2.  But   the   principal   advocate    of  this  view   in  the  last  century    was              </w:t>
        <w:br/>
        <w:t xml:space="preserve">     Bengel.     In   his   note  on   the   famous    passage,    ch.  v.  7, he   gives   his             </w:t>
        <w:br/>
        <w:t xml:space="preserve">     contextual    system     of the   Epistle’,    This    arrangement      is made    in the              </w:t>
        <w:br/>
        <w:t xml:space="preserve">     interest  of  the  disputed   verse,  and   tends  to give   it an  important    place  in             </w:t>
        <w:br/>
        <w:t xml:space="preserve">     the  context    of  the   Epistle.    It  is  moreover     highly   artificial, and   the              </w:t>
        <w:br/>
        <w:t xml:space="preserve">     Trinitarian    character,   which     is made    to  predominate     in  it, is certainly              </w:t>
        <w:br/>
        <w:t xml:space="preserve">     far  from   the  obvious    key  to  the  real   arrangement,     as  given   us  by  the              </w:t>
        <w:br/>
        <w:t xml:space="preserve">     Epistle   itself.                                                                                      </w:t>
        <w:br/>
        <w:t xml:space="preserve">        3.  Nearer    to our  own   time,  differing  arrangements      of the  Epistle  have               </w:t>
        <w:br/>
        <w:t xml:space="preserve">     been   proposed,     by  Liicke,   De   Wette,    and   Diisterdieck.      I shall   take              </w:t>
        <w:br/>
        <w:t xml:space="preserve">     these  three   in order.                                                                               </w:t>
        <w:br/>
        <w:t xml:space="preserve">        4.  Liicke   holds  the  proper    theme    of  the  Epistle,  the  object,   ground,               </w:t>
        <w:br/>
        <w:t xml:space="preserve">     and  binding    together   of all  its doctrinal   and  practical   sayings,  to  be  this             </w:t>
        <w:br/>
        <w:t xml:space="preserve">     proposition:     “As   the  ground    and   root of  all Christian   fellowship    is, the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7 Cited  in the note on this part of the Introd. in my  Greek Test.                         </w:t>
        <w:br/>
        <w:t xml:space="preserve">              283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