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§v.J          CONTENTS           AND      ARRANGEMENT.               [intropuction.                     </w:t>
        <w:br/>
        <w:t xml:space="preserve">                                                                                                            </w:t>
        <w:br/>
        <w:t xml:space="preserve">    Especially    is the  distinction    mado    between    thoso    who   belong    to God                 </w:t>
        <w:br/>
        <w:t xml:space="preserve">    and   those  who    belong    to  the  devil,  by  Love   and   Hate:    and  therefore                 </w:t>
        <w:br/>
        <w:t xml:space="preserve">    must   we   ever  love  in  deed   and  in  truth  (ii. 29—iii.   18).    The   Apostle                 </w:t>
        <w:br/>
        <w:t xml:space="preserve">    adds  a  promiso    of  confidenco   towards     God   and   answer    to  prayer,   and                </w:t>
        <w:br/>
        <w:t xml:space="preserve">    exhorts    them   to  add   to love,   faith  in  the   Son   of  God    (iii. 19—24):                  </w:t>
        <w:br/>
        <w:t xml:space="preserve">    which   leads  him   to  a second   express    warning    against   the  false teachers                 </w:t>
        <w:br/>
        <w:t xml:space="preserve">    (iv. 1-6).                                                                                              </w:t>
        <w:br/>
        <w:t xml:space="preserve">       c)  In  this  third  Exhortation,      the  Apostle   sets   out  with   the   simple                </w:t>
        <w:br/>
        <w:t xml:space="preserve">    principle  of  Love,   which,   constituting    the  essenee   of  God   Himself,    and                </w:t>
        <w:br/>
        <w:t xml:space="preserve">    being  revealed    in the  mission   of Christ,   is the  condition    of  all adoption                 </w:t>
        <w:br/>
        <w:t xml:space="preserve">    into God’s    family   and  all  confidence    towards    God   (iv. 7—21).       But   a               </w:t>
        <w:br/>
        <w:t xml:space="preserve">    co-ordinate   condition    is faith  in  the  Son   of  God,   as  including    in itself               </w:t>
        <w:br/>
        <w:t xml:space="preserve">    Love,   and    the   keeping    of  God's    commandments,         and   the   strength                 </w:t>
        <w:br/>
        <w:t xml:space="preserve">    requisite   thereto.    And     the  voucher     for   this  faith   is  found    in  the               </w:t>
        <w:br/>
        <w:t xml:space="preserve">    historical  facts  and  testimonies     of  baptism,   of  the  death   of Christ,   and                </w:t>
        <w:br/>
        <w:t xml:space="preserve">    of the  Holy   Spirit,  and   in eternal   life which   He   gives   (vy. 1—13).      At                </w:t>
        <w:br/>
        <w:t xml:space="preserve">    the conelusion    of  the exhortation,     we  have   the  repeated   promise    of con-                </w:t>
        <w:br/>
        <w:t xml:space="preserve">    fidence  towards    God   and  the  hearing    of prayer,   in this  case  intercessory                 </w:t>
        <w:br/>
        <w:t xml:space="preserve">    prayer   for a sinning   brother,   yet  with   a limitation,  and   a reminding     that               </w:t>
        <w:br/>
        <w:t xml:space="preserve">    strictly speaking,   Christians    may   not  sin:  ending   witha    warning    against                </w:t>
        <w:br/>
        <w:t xml:space="preserve">   idolatry   (v.  1421).                                                                                   </w:t>
        <w:br/>
        <w:t xml:space="preserve">      7.  To   this  division   Diisterdieck    objects,   that  the   terms   exhortation,                 </w:t>
        <w:br/>
        <w:t xml:space="preserve">   reminding,    &amp;c.,  are  of  too  superficial    a  kind   to  suffice  for designating                  </w:t>
        <w:br/>
        <w:t xml:space="preserve">   the   various   portions    of  the   Epistle,   and   that   De   Wette    is  in  error                </w:t>
        <w:br/>
        <w:t xml:space="preserve">   in  supposing     a   new   train   of  thought    to  be   begun    in  ch.  iv. 7—2I:                  </w:t>
        <w:br/>
        <w:t xml:space="preserve">   rather   does  the  leading   axiom   of  ch. ii. 29 proceed    through    that  portion,                </w:t>
        <w:br/>
        <w:t xml:space="preserve">   and   in fact  even   farther  than   that.                                                              </w:t>
        <w:br/>
        <w:t xml:space="preserve">      8.  His   own    division,  which    has   been   in  the   main   followed     in  my                </w:t>
        <w:br/>
        <w:t xml:space="preserve">    Commentary,      is as  follows.    Regarding,     as the  others,  ch.  i, 1—4   as  the               </w:t>
        <w:br/>
        <w:t xml:space="preserve">    Introduction,    in which   the  writer   lays  down   the  great  object  of  apostolic                </w:t>
        <w:br/>
        <w:t xml:space="preserve">   preaching,    asserts   of himself   full apostolicity,   and  announces    tho  purpose                 </w:t>
        <w:br/>
        <w:t xml:space="preserve">    of his  writing,—hoe     makes    two   great  divisions   of  the  Epistle:   the  first,              </w:t>
        <w:br/>
        <w:t xml:space="preserve">    i. 5—ii,  28,  the  second,   ii. 29—v.    5:  on  which    follows    the  conclusion,                 </w:t>
        <w:br/>
        <w:t xml:space="preserve">    vy. 6—21.                                                                                               </w:t>
        <w:br/>
        <w:t xml:space="preserve">       9.  Each   of  these  great  divisions   is ruled  and   pervaded    by  one  master                 </w:t>
        <w:br/>
        <w:t xml:space="preserve">    thought,   announced      clearly  in  its outset;   which   we   may   call  its theme.                </w:t>
        <w:br/>
        <w:t xml:space="preserve">    ‘These  themes    are impressed     on  the   readers   both  by   positive  and   nega-                </w:t>
        <w:br/>
        <w:t xml:space="preserve">    tive  unfolding,    and   by  polemical    defence    against    erroncous    teachers:                 </w:t>
        <w:br/>
        <w:t xml:space="preserve">    and,  this  being    done,   each  principal    portion   is  concluded    with   a  cor-               </w:t>
        <w:br/>
        <w:t xml:space="preserve">    responding     promise.     And    both   prineipal    portions   tend  throughout     to               </w:t>
        <w:br/>
        <w:t xml:space="preserve">    throw   light  on  the  great   subject   of  the  whole,   viz.  Fettowsuip       WITH                 </w:t>
        <w:br/>
        <w:t xml:space="preserve">    Gop    tne  FatHer      anp   THe   Lorp    Jesus   Curis.                                              </w:t>
        <w:br/>
        <w:t xml:space="preserve">       10.  The   theme    of the  first  portion   is given   eh.  i. 5,  “ God   is Light,                </w:t>
        <w:br/>
        <w:t xml:space="preserve">    and   in  Him   is  no  darkness.”      Consequently,      fellowship   with   Him,    on               </w:t>
        <w:br/>
        <w:t xml:space="preserve">             285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