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§ 1]          AUTHORSHIP             AND      CANONICITY.             [ryrropvcrtion.                </w:t>
        <w:br/>
        <w:t xml:space="preserve">                                                                                                            </w:t>
        <w:br/>
        <w:t xml:space="preserve">      ance   of  this  early   testimony.      Sce   the  whole    diseussed    at  length    in            </w:t>
        <w:br/>
        <w:t xml:space="preserve">      Stuart,   pp.  250—254:       Liicke,   pp. 524—546:       Hengstenberg,      pp.  101—               </w:t>
        <w:br/>
        <w:t xml:space="preserve">       116.    I may    be  permitted    to  say,   that  both   the  last-mentioned      Com-              </w:t>
        <w:br/>
        <w:t xml:space="preserve">      mentators    have   suffered   themselves    to  be  blinded   as to  the real  worth   of            </w:t>
        <w:br/>
        <w:t xml:space="preserve">      the  evidence    by  their  zeal  to serve   each  his  own   hypothesis.                             </w:t>
        <w:br/>
        <w:t xml:space="preserve">         34.   The   Epistle  of  the  churches   of  Lyons   and   Vienne   to  the  churches              </w:t>
        <w:br/>
        <w:t xml:space="preserve">      of Asia   and  Phrygia    concerning     the persecution    which    befell them    under             </w:t>
        <w:br/>
        <w:t xml:space="preserve">      Mareus    Aurelius,    A.D.  177,  is preserved     by  Eusebius.      The   citations  in            </w:t>
        <w:br/>
        <w:t xml:space="preserve">      it  from   the  Apocalypse     are  unmistakeable.        In  speaking    of the  martyr              </w:t>
        <w:br/>
        <w:t xml:space="preserve">      Vettius    Epagathus,      they   say,  “For    he   was   and   is a  true   martyr    of            </w:t>
        <w:br/>
        <w:t xml:space="preserve">      Christ,   following     the  Lamb    whithersoever      He    goeth”    (Rev.    xiv.  4).            </w:t>
        <w:br/>
        <w:t xml:space="preserve">      ‘They   account    for the   rage  of  the  Pagans    against   the   Christians    by  its           </w:t>
        <w:br/>
        <w:t xml:space="preserve">     ‘Deing    the  fulfilment    of  Rev.   xxii.  11,  “That     the   Scripture     may    be            </w:t>
        <w:br/>
        <w:t xml:space="preserve">      fulfilled, ‘He    that   is lawless,   let  him   be  lawless    still, and  he   that   is           </w:t>
        <w:br/>
        <w:t xml:space="preserve">      rightcons    let  him   be  righteous    still.’”   They    call Christ   “ the  faithful             </w:t>
        <w:br/>
        <w:t xml:space="preserve">      and   true   Witness,”     and,  “the    Firstborn    from   the   dead,”   expressions               </w:t>
        <w:br/>
        <w:t xml:space="preserve">      manifestly    taken   from   Rev.   i. 5, iii. 14.                                                    </w:t>
        <w:br/>
        <w:t xml:space="preserve">         35,  The    testimony    of  Polycrates    of  Ephesus,    in  Euseb.   H.   E. v.  24,            </w:t>
        <w:br/>
        <w:t xml:space="preserve">      concerning     the   burial  of  St.  John    in  Ephesus,     has   been   pressed    by             </w:t>
        <w:br/>
        <w:t xml:space="preserve">      Hengstenberg       into the  service   of  the  canonicity    of the  Apocalypse,     but             </w:t>
        <w:br/>
        <w:t xml:space="preserve">      is far  too uncertain    in meaning     to  be fairly  introduced.      See  Hengsten-                </w:t>
        <w:br/>
        <w:t xml:space="preserve">      berg,  pp.  125—129.                                                                                  </w:t>
        <w:br/>
        <w:t xml:space="preserve">         36.  Cyprian     (about    250)   repeatedly    refers   to  the  Apocalypse,      and             </w:t>
        <w:br/>
        <w:t xml:space="preserve">      unhesitatingly     treats  it as  part   of  Holy   Seripture.      He   says,  “ chiefly             </w:t>
        <w:br/>
        <w:t xml:space="preserve">      when    it is written,   ‘Remember      whence     thou   hast   fallen  and   repent,’”              </w:t>
        <w:br/>
        <w:t xml:space="preserve">      Rev.     ii.    He   cites  the Apocalypse      as  on   a  level  with   the  Gospels:               </w:t>
        <w:br/>
        <w:t xml:space="preserve">      “By    the  trumpet    of  His   Gospel    the  Lord   excites   us, saying,   ‘ He  that             </w:t>
        <w:br/>
        <w:t xml:space="preserve">      loveth   father,  &amp;c.’....     and  again,   ‘Blessed    are  they   that  shall be  per-             </w:t>
        <w:br/>
        <w:t xml:space="preserve">      seeuted,   &amp;e.’...    and,   ‘To   him   that  overcometh     will  I give   to sit upon              </w:t>
        <w:br/>
        <w:t xml:space="preserve">      my   throne,   &amp;c.,’”  Rev.   iii. 21.   And    similarly   in  several   other   places,             </w:t>
        <w:br/>
        <w:t xml:space="preserve">      given   in my   Greck    Test.                                                                        </w:t>
        <w:br/>
        <w:t xml:space="preserve">         37.  Athanasius*      (died   about   373)   gives   a  list  of  the  books   of  the             </w:t>
        <w:br/>
        <w:t xml:space="preserve">      sacred   canon,   dividing   them    into  three   classes:   the  first of these   being             </w:t>
        <w:br/>
        <w:t xml:space="preserve">      the  canonical,    which   are  the  sources   of  salvation:    in which    only  is the             </w:t>
        <w:br/>
        <w:t xml:space="preserve">      true  doctrine    of  religion   declared,   to which    no  man    can  add,  and   from             </w:t>
        <w:br/>
        <w:t xml:space="preserve">      which    none   can   take  away:     the second   ecclesiastical—such       as  may   be             </w:t>
        <w:br/>
        <w:t xml:space="preserve">      read   in  the  chureh    for   edification,   but  are   not   inspired:    the   third,             </w:t>
        <w:br/>
        <w:t xml:space="preserve">      apocryphal,    written    by  heretics,  and    supposititious,     In   the  first  class            </w:t>
        <w:br/>
        <w:t xml:space="preserve">      he  places  the  Apocalypse:      and  in  his writings    accordingly    he refers  to it            </w:t>
        <w:br/>
        <w:t xml:space="preserve">      frequently.                       7                                                                   </w:t>
        <w:br/>
        <w:t xml:space="preserve">         38.  In  Chrysostom’s      own   works   we   have  no   comments     on  the Apoca-               </w:t>
        <w:br/>
        <w:t xml:space="preserve">      lypse,   nor   any   distinct   references    to  it as   Scripture.     That     he  was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§ See above, par, 20.                                              </w:t>
        <w:br/>
        <w:t xml:space="preserve">               315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