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  1]         AUTHORSINP             AND      CANONICITY.              [. NTRODUCTION,                </w:t>
        <w:br/>
        <w:t xml:space="preserve">                                                                                                            </w:t>
        <w:br/>
        <w:t xml:space="preserve">      “T   see its dialect   and  langnago    not  accurate   Greek,   but  it uses  barbarian              </w:t>
        <w:br/>
        <w:t xml:space="preserve">      idioms,   and   sometimes    even   solaeisms.”                                                       </w:t>
        <w:br/>
        <w:t xml:space="preserve">          100,  All  this  mast   be  freely  acknowledged,      and   is abundantly     exem-              </w:t>
        <w:br/>
        <w:t xml:space="preserve">      plified  in my   Greck   ‘Testament     Commentary.        ‘The question    for  us how-              </w:t>
        <w:br/>
        <w:t xml:space="preserve">      ever   is one   whieh   lies  deeper   than   the  surface,   and  beyond     mere    first           </w:t>
        <w:br/>
        <w:t xml:space="preserve">      appearanecs,       It presents   itself  to us  in a double    form:                                  </w:t>
        <w:br/>
        <w:t xml:space="preserve">         1)   Is there   any   account    which    might    bo  given   of  this   great   dis-             </w:t>
        <w:br/>
        <w:t xml:space="preserve">                            ent  with  identity   of  Authorship?                                           </w:t>
        <w:br/>
        <w:t xml:space="preserve">      similarity,   there   any   indications     of  that   identity,   lying   beneath    the             </w:t>
        <w:br/>
        <w:t xml:space="preserve">      surface,   notwithstanding      this great  dissimilarity?                                            </w:t>
        <w:br/>
        <w:t xml:space="preserve">         101.   In  reply  to  the  first question,   several   thoughts    at  onee   suggest              </w:t>
        <w:br/>
        <w:t xml:space="preserve">      themselves    as  claiming    mention    and   contributing    to  its solution.     ‘Che             </w:t>
        <w:br/>
        <w:t xml:space="preserve">      subject  of  tho  Apocalypse      is so  different   from   those  of  the  Gospel    and             </w:t>
        <w:br/>
        <w:t xml:space="preserve">      Epistle,  that  we   may   well  expect   a not  inconsiderable    difference   of style.             </w:t>
        <w:br/>
        <w:t xml:space="preserve">      Tu  those,   the   Writer   is,  under   divine   gnidance,     calmly   arranging     his            </w:t>
        <w:br/>
        <w:t xml:space="preserve">      material,   in  full  self-eonsciousness,     and   deliberately    putting   forth   the             </w:t>
        <w:br/>
        <w:t xml:space="preserve">      produet,   in words,    of his own   reflectiveness:     in this, on  the  other   hand,              </w:t>
        <w:br/>
        <w:t xml:space="preserve">      he  is  the  rapt   secr,  borne   along   from   vision   to  vision,  speaking     in  a            </w:t>
        <w:br/>
        <w:t xml:space="preserve">      region   and   character   totally   diflerent®.    Is  this  cireumstance     any   con-             </w:t>
        <w:br/>
        <w:t xml:space="preserve">      tribution   to our  reply   ?   Let  us  consider   further.                                          </w:t>
        <w:br/>
        <w:t xml:space="preserve">         102.   St.John     was   not  a Greek,    but  a Galilean.      To  speak   a  certain             </w:t>
        <w:br/>
        <w:t xml:space="preserve">      kind   of  Greek    was   probably    natural   to  him,   as  to  almost   all  the   in-            </w:t>
        <w:br/>
        <w:t xml:space="preserve">      habitants    of   Palestine    of  his   time.    But   to  write   the  Greck     of his             </w:t>
        <w:br/>
        <w:t xml:space="preserve">      Gospel   and   Epistle,   ean  hardly   but   have   been   to  him   matter   of  effort.            </w:t>
        <w:br/>
        <w:t xml:space="preserve">      Or  to put  it in another   point  of view,   the  diction  and   form  in  which    they             </w:t>
        <w:br/>
        <w:t xml:space="preserve">      were  conveyed    were   the  result  of the  deliberate   exercise   of  a special  gift             </w:t>
        <w:br/>
        <w:t xml:space="preserve">      of the  Spirit, matured    by  practice,  and   deemed    necessary    for the  purpose               </w:t>
        <w:br/>
        <w:t xml:space="preserve">      of thoso  writings,    to be  put  forth  in  them.                                                   </w:t>
        <w:br/>
        <w:t xml:space="preserve">         103.  In   the  Apocalypse,     the   ease  may    be  conecived     to  have    been              </w:t>
        <w:br/>
        <w:t xml:space="preserve">      different.    Tho   necessarily   rhapsodical    and   mysterious      character  of that             </w:t>
        <w:br/>
        <w:t xml:space="preserve">      hook  may    have  led  to the  Apostle    being   left more   to  his vernacular    and              </w:t>
        <w:br/>
        <w:t xml:space="preserve">      less correet    Greek.     Cireumstanees      too   may   have   contributed     to this.             </w:t>
        <w:br/>
        <w:t xml:space="preserve">      The   visions   may   have   been   set  down    in  the  solitude  of  exile,  far from              </w:t>
        <w:br/>
        <w:t xml:space="preserve">      friends, and  perhaps    from  the  appliances   of            life.   ‘Lhe  Hebraistic               </w:t>
        <w:br/>
        <w:t xml:space="preserve">      style  may   have   come    more   naturally   in  a  writing   so  fashioned    on  Old              </w:t>
        <w:br/>
        <w:t xml:space="preserve">      ‘Testament    models,    and  bound    by   so  many    links  to  the   prophecies    of             </w:t>
        <w:br/>
        <w:t xml:space="preserve">      Hebrew    prophets.      ‘The style  too of'advaneed     age  may   have   dropped    the             </w:t>
        <w:br/>
        <w:t xml:space="preserve">     careful   claboration    of  the   preceding    years,   and    resumed     the  rougher               </w:t>
        <w:br/>
        <w:t xml:space="preserve">     character    of early  youth,                                                                          </w:t>
        <w:br/>
        <w:t xml:space="preserve">         104,  I  do  not  say  that  those  considerations    are  cnough    to  account   for  ,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9 Since   writing this sce in Davidson’s  Introduction,  p. 587, “As  Guerike  has well             </w:t>
        <w:br/>
        <w:t xml:space="preserve">     expressed  it, the Gospel  was  conceived   and  written in  the understanding   : but the             </w:t>
        <w:br/>
        <w:t xml:space="preserve">     Apocalypse  in the Spirit.”                                                                            </w:t>
        <w:br/>
        <w:t xml:space="preserve">               329                                y2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