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§1.J          AUTHORSHIP             AND      CANONICITY.             [inrropuction.                  </w:t>
        <w:br/>
        <w:t xml:space="preserve">                                                                                                            </w:t>
        <w:br/>
        <w:t xml:space="preserve">         110.   The   first of  these   is one  undeniably     connecting    the  Apocalypse                </w:t>
        <w:br/>
        <w:t xml:space="preserve">      with    the  Gospel    and   the   Epistle,   viz.   the  appellation    the   Word     of            </w:t>
        <w:br/>
        <w:t xml:space="preserve">      God   given   to our  Lord   in  ch. xix.  13  (see  John    i. 1; 1 Johni.1).       This             </w:t>
        <w:br/>
        <w:t xml:space="preserve">      name,   “the    Word,”   for  our  Lord,   is found   in the  New    Test.,  only  in  the            </w:t>
        <w:br/>
        <w:t xml:space="preserve">      writings   of  St.  John,     Iam    aware    of the  ingenuity    with   which    Liicke             </w:t>
        <w:br/>
        <w:t xml:space="preserve">      has  endeavoured      to turn   this expression    to  the   coutrary   account,   main-              </w:t>
        <w:br/>
        <w:t xml:space="preserve">            ng  that   it is  a  proof  of  diversity   of  authorship,    inasmuch      as  the            </w:t>
        <w:br/>
        <w:t xml:space="preserve">      Evangelist    never   writes   “the   Word    of God:”     but  I may   leave   it to any             </w:t>
        <w:br/>
        <w:t xml:space="preserve">      fair-judging    reader   to decide,   whether     it be  not  a far  greater   argument               </w:t>
        <w:br/>
        <w:t xml:space="preserve">      for  identity   that  the  remarkable     designation    “the   Word”      is used,  than             </w:t>
        <w:br/>
        <w:t xml:space="preserve">      for  diversity   that,  on  the  solemn    occasion   described    in the  Apocalypse,                </w:t>
        <w:br/>
        <w:t xml:space="preserve">      the  hitherto   unheard    adjunct   “  of God”    is added.                                          </w:t>
        <w:br/>
        <w:t xml:space="preserve">          111.  Another     reply  may   be   given   to  our  deduetion    from   the   uso  of            </w:t>
        <w:br/>
        <w:t xml:space="preserve">      this   name:    viz. that   it indicates   not  necessarily   John    the Apostle,    but             </w:t>
        <w:br/>
        <w:t xml:space="preserve">      only   one  familiar   with  his  teaching,   as we   may   suppose   that  other   John              </w:t>
        <w:br/>
        <w:t xml:space="preserve">      to  have  been.     All  I can  say  to this  is, that  which   I cannot    help  feeling             </w:t>
        <w:br/>
        <w:t xml:space="preserve">      to  apply  to  the whole    hypothesis    of  the  authorship    by  the  second   John,              </w:t>
        <w:br/>
        <w:t xml:space="preserve">      that  if it be  so,—if   one  bearing    the  same    namo    as  the Apostle,    having              </w:t>
        <w:br/>
        <w:t xml:space="preserve">       the same   place   among   the  Asiatic  churches,    put  forth  a book   in which    he            </w:t>
        <w:br/>
        <w:t xml:space="preserve">      also  used   the Apostle’s   peculiar   phrases,   and  yot  took  no  pains  to prevent              </w:t>
        <w:br/>
        <w:t xml:space="preserve">       theconfusion    which   must  necessarily   arise  between  himself   and  the Apostle,              </w:t>
        <w:br/>
        <w:t xml:space="preserve">       I do  not  well   soe  how    the  advocates    of  his  authorship     can  help   pro-             </w:t>
        <w:br/>
        <w:t xml:space="preserve">       nouneing    the  book   a  forgery,   or  at  all events   the  work   of  one  who,   in            </w:t>
        <w:br/>
        <w:t xml:space="preserve">       relating  the  visions,  was   not   unwilling    to  be  taken   for  his greater   and             </w:t>
        <w:br/>
        <w:t xml:space="preserve">       Apostolic   namesake.                                                                                </w:t>
        <w:br/>
        <w:t xml:space="preserve">          112.  Another     link, binding   the  Apocalypse     to both  Gospel   and   Epistle,            </w:t>
        <w:br/>
        <w:t xml:space="preserve">       is the  use   of  “he   that   overcometh,”      in  the  Epistles   to the   churehes,              </w:t>
        <w:br/>
        <w:t xml:space="preserve">       ch, ii. 7, 11, 17,  26,  iii. 5, 12, 21  (twice):  and   ch, xii. 11,  xv.  2, xvii.  14,            </w:t>
        <w:br/>
        <w:t xml:space="preserve">       xxi.  7.   Compare      John  xvi.  33;  1 John   ii. 13,  14,  iv. 4, v. 4  (twice),  5.            </w:t>
        <w:br/>
        <w:t xml:space="preserve">       It is amusing    to observe   again   how   dexteronsly    Liicke   turns   the  edge  of            </w:t>
        <w:br/>
        <w:t xml:space="preserve">       this.   “Jfe   that  overcometh”      is never   used   absolutely   in  Gospel    or  in            </w:t>
        <w:br/>
        <w:t xml:space="preserve">       Epistle,  as it is in  the Apocalypse:      therefore   it again  is a mark    of diver-             </w:t>
        <w:br/>
        <w:t xml:space="preserve">       sity, not  of identity.    But   surely  this  is the very   thing  we  might    expect.             </w:t>
        <w:br/>
        <w:t xml:space="preserve">       The   “overcoming     the world,”   “the   wicked   one,”   “ them,”   &amp;c.,—these     are            </w:t>
        <w:br/>
        <w:t xml:space="preserve">       the details,  and  come   under   notice  while   the  strife is proceeding,    or when              </w:t>
        <w:br/>
        <w:t xml:space="preserve">       the  object   is of  more    import    than  the   bare   act:  but  when    the   end  is           </w:t>
        <w:br/>
        <w:t xml:space="preserve">       spoken   of, and   the  final and   general   victory  is all  that  remains    in view,             </w:t>
        <w:br/>
        <w:t xml:space="preserve">       nothing    can  be  more   natural   than   that   he  who   alone   spoke    of  “over-             </w:t>
        <w:br/>
        <w:t xml:space="preserve">       coming   the world,”    “the   wicked   one,”   “ them,”—should       also  be  the  only            </w:t>
        <w:br/>
        <w:t xml:space="preserve">       one  to designate   the  vietor  by  “he   that  overcometh.”      Besides   which,   we             </w:t>
        <w:br/>
        <w:t xml:space="preserve">       have   also the  other   use,  in Rev.   xii. 11.                                                    </w:t>
        <w:br/>
        <w:t xml:space="preserve">          113,   A  third   remarkable     word,    true,   in  the  sense,   more   or less, of            </w:t>
        <w:br/>
        <w:t xml:space="preserve">       genuine    (althinos),    is once   used   by  St. Luke    (Luke    xvi.  11),  once   by            </w:t>
        <w:br/>
        <w:t xml:space="preserve">       St.  Paul  (1  Thess.   i. 9), and   three   times  in the   Epistle  to  the  Hebrews               </w:t>
        <w:br/>
        <w:t xml:space="preserve">                331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