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 1.)         PLACE       AND      TIME      OF   WRITING.           [intropucrion.                  </w:t>
        <w:br/>
        <w:t xml:space="preserve">                                                                                                            </w:t>
        <w:br/>
        <w:t xml:space="preserve">      among     themselves     who   this   emperor    was.     Some    among     them    (ce.              </w:t>
        <w:br/>
        <w:t xml:space="preserve">      Stuart,  and    others)   taking   the   natural   (and  one   would   think   the   only             </w:t>
        <w:br/>
        <w:t xml:space="preserve">      possible)  view   of such   an historical   indication,  begin   according    to general              </w:t>
        <w:br/>
        <w:t xml:space="preserve">      custom    with   Julius,   and   bring   the   writing   under    Nero.     Ewald    and              </w:t>
        <w:br/>
        <w:t xml:space="preserve">      Liicke,  on  account   of the   “is  not,  and   shall  come”    of      xvii. 8,  which              </w:t>
        <w:br/>
        <w:t xml:space="preserve">      they      wish to apply    to  Nero,    desert   the   usual   reckoning     of  Roman                </w:t>
        <w:br/>
        <w:t xml:space="preserve">      emperors,    and   begin   with   Augustus,     thus   bringing    the  writing    under              </w:t>
        <w:br/>
        <w:t xml:space="preserve">      Galba.    Again,    Eichhorn    and   Bleck,  wishing    to bring   the writing    under              </w:t>
        <w:br/>
        <w:t xml:space="preserve">      Vespasian,    omit   Galba,   Otho,   and  Vitcllius,   relying   on  an  expressi                    </w:t>
        <w:br/>
        <w:t xml:space="preserve">      Suetonius,    that   their  reigns   were    a  mere   “rebellion    of  three pri                    </w:t>
        <w:br/>
        <w:t xml:space="preserve">      ‘Thus  by  changing     the usual   starting-point,    and  leaving   out  of  the  usual             </w:t>
        <w:br/>
        <w:t xml:space="preserve">      list of the Cwesars   any  number     found  convenient,    any   view  we   please  may              </w:t>
        <w:br/>
        <w:t xml:space="preserve">      be  substantiated     by  this  kind   of interpretation.      ‘Those   whose    view   of            </w:t>
        <w:br/>
        <w:t xml:space="preserve">      the  prophecy     extends   wider,   and   who   attach   a  larger   meaning     to  the             </w:t>
        <w:br/>
        <w:t xml:space="preserve">      symbols   of  the  beast and   his  image   and  his heads,   will  not  be  induced   by             </w:t>
        <w:br/>
        <w:t xml:space="preserve">      such  very  uncertain   speculations    to  set aside  a primitive    and  as it appears   ©          </w:t>
        <w:br/>
        <w:t xml:space="preserve">      to them   thoroughly     trustworthy     tradition.                                                   </w:t>
        <w:br/>
        <w:t xml:space="preserve">         27.  It  may    be  observed    that   Liicke   attempts    to  give  an  account    of            </w:t>
        <w:br/>
        <w:t xml:space="preserve">      the  origin  of  what   he  calls  the  Trenean    tradition,  freely  confessing    that             </w:t>
        <w:br/>
        <w:t xml:space="preserve">      his  proof    (?)  of  the   date   is not   complete    without     such   an  account.              </w:t>
        <w:br/>
        <w:t xml:space="preserve">      The   character    of the  account    he  gives  is well  worth    observing.     When,               </w:t>
        <w:br/>
        <w:t xml:space="preserve">      he  says,  men   found    that  the  apocalyptic    prophecies     had   failed of  their             </w:t>
        <w:br/>
        <w:t xml:space="preserve">      accomplishment,       they  began    to  give  a wider   sense   to them,   and    to put             </w:t>
        <w:br/>
        <w:t xml:space="preserve">      them   ata   later  date.    And    having    given   this  account,    he  attempts    to            </w:t>
        <w:br/>
        <w:t xml:space="preserve">      vindicate   it from   the  charge   of  overthrowing     the  authority    of  Scripture              </w:t>
        <w:br/>
        <w:t xml:space="preserve">      prophecy,    and   says  that  though    it may   not  be  as convenicnt     as the  way              </w:t>
        <w:br/>
        <w:t xml:space="preserve">      which    modern    orthodoxy    has   struck  out,  yet  it leads   more   safely  to the             </w:t>
        <w:br/>
        <w:t xml:space="preserve">      desired   end,  and   to the  permanent     enjoyment    of  true  faith.                             </w:t>
        <w:br/>
        <w:t xml:space="preserve">         28,  With    evory   disposition   to search  and   prove   all things,  and   ground              </w:t>
        <w:br/>
        <w:t xml:space="preserve">      faith  upon    things   thus   proved,    I  own   I  am   quite   unable   to  come    to            </w:t>
        <w:br/>
        <w:t xml:space="preserve">      Liicke’s    conclusions,    or  to   those   of  any   of   the   maintainers     of  the             </w:t>
        <w:br/>
        <w:t xml:space="preserve">      Neronie    or  any   of  the  earlier   dates.    The   book   itself,  it seems   to me,             </w:t>
        <w:br/>
        <w:t xml:space="preserve">      refuses   the  assignment    of  such   times   of writing.     ‘The  evident   assump-               </w:t>
        <w:br/>
        <w:t xml:space="preserve">      tion  which   it makes    of long-standing     and  general    persecution    (ch.  vi. 9)            </w:t>
        <w:br/>
        <w:t xml:space="preserve">      forbids   us to  place  it in the  very   first persecution,   and   that only  a partial             </w:t>
        <w:br/>
        <w:t xml:space="preserve">      one:   the  undoubted     transference    of  Jewish    temple   emblems     to a  Chris-             </w:t>
        <w:br/>
        <w:t xml:space="preserve">      tian  sense  (ch.  i. 20)  of  itself makes    us  suspect    those   interpreters   who              </w:t>
        <w:br/>
        <w:t xml:space="preserve">      maintain    the  literal sense   when   the  temple    and  city  are  mentioned:      the            </w:t>
        <w:br/>
        <w:t xml:space="preserve">      analogy    of  the  prophecies    of   Daniel   forbids   us  to  limit   to  individual              </w:t>
        <w:br/>
        <w:t xml:space="preserve">      kings   the  interpretation    of  the  symbolic    heads   of  the  beast:   the  whole              </w:t>
        <w:br/>
        <w:t xml:space="preserve">      character    and   tone   of  the   writing     precludes    our   imagining     that  its            </w:t>
        <w:br/>
        <w:t xml:space="preserve">      original   reference    was    ever   intended    to  be  to  mere    local  matters    of            </w:t>
        <w:br/>
        <w:t xml:space="preserve">      secondary    import.                                                                                  </w:t>
        <w:br/>
        <w:t xml:space="preserve">         29,   The   state of  those   to  whom     it was   addressed     furnishes   another              </w:t>
        <w:br/>
        <w:t xml:space="preserve">               339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